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rPr>
          <w:rFonts w:ascii="黑体" w:hAnsi="黑体" w:eastAsia="黑体"/>
          <w:sz w:val="32"/>
          <w:szCs w:val="32"/>
        </w:rPr>
      </w:pPr>
      <w:r>
        <w:rPr>
          <w:rFonts w:hint="eastAsia" w:ascii="黑体" w:hAnsi="黑体" w:eastAsia="黑体"/>
          <w:sz w:val="32"/>
          <w:szCs w:val="32"/>
        </w:rPr>
        <w:t xml:space="preserve">附件1： </w:t>
      </w:r>
    </w:p>
    <w:p>
      <w:pPr>
        <w:spacing w:line="540" w:lineRule="exact"/>
        <w:rPr>
          <w:rFonts w:ascii="方正小标宋_GBK" w:hAnsi="宋体" w:eastAsia="方正小标宋_GBK"/>
          <w:sz w:val="44"/>
          <w:szCs w:val="44"/>
        </w:rPr>
      </w:pPr>
    </w:p>
    <w:p>
      <w:pPr>
        <w:spacing w:line="540" w:lineRule="exact"/>
        <w:jc w:val="center"/>
        <w:rPr>
          <w:rFonts w:ascii="方正小标宋_GBK" w:hAnsi="宋体" w:eastAsia="方正小标宋_GBK"/>
          <w:sz w:val="44"/>
          <w:szCs w:val="44"/>
        </w:rPr>
      </w:pPr>
      <w:r>
        <w:rPr>
          <w:rFonts w:hint="eastAsia" w:ascii="方正小标宋_GBK" w:hAnsi="宋体" w:eastAsia="方正小标宋_GBK"/>
          <w:sz w:val="44"/>
          <w:szCs w:val="44"/>
        </w:rPr>
        <w:t>2018年度新疆喀什地区英吉沙县色提力乡人民政府（本级）部门决算</w:t>
      </w:r>
    </w:p>
    <w:p>
      <w:pPr>
        <w:spacing w:line="540" w:lineRule="exact"/>
        <w:jc w:val="center"/>
        <w:rPr>
          <w:rFonts w:ascii="方正小标宋_GBK" w:hAnsi="宋体" w:eastAsia="方正小标宋_GBK"/>
          <w:sz w:val="44"/>
          <w:szCs w:val="44"/>
        </w:rPr>
      </w:pPr>
      <w:r>
        <w:rPr>
          <w:rFonts w:hint="eastAsia" w:ascii="方正小标宋_GBK" w:hAnsi="宋体" w:eastAsia="方正小标宋_GBK"/>
          <w:sz w:val="44"/>
          <w:szCs w:val="44"/>
        </w:rPr>
        <w:t>公开说明</w:t>
      </w:r>
    </w:p>
    <w:p>
      <w:pPr>
        <w:spacing w:line="540" w:lineRule="exact"/>
        <w:rPr>
          <w:rFonts w:ascii="仿宋_GB2312" w:hAnsi="宋体" w:eastAsia="仿宋_GB2312"/>
          <w:sz w:val="32"/>
          <w:szCs w:val="32"/>
        </w:rPr>
      </w:pPr>
    </w:p>
    <w:p>
      <w:pPr>
        <w:spacing w:line="540" w:lineRule="exact"/>
        <w:jc w:val="center"/>
        <w:rPr>
          <w:rFonts w:ascii="黑体" w:hAnsi="黑体" w:eastAsia="黑体"/>
          <w:bCs/>
          <w:kern w:val="0"/>
          <w:sz w:val="32"/>
          <w:szCs w:val="32"/>
        </w:rPr>
      </w:pPr>
      <w:r>
        <w:rPr>
          <w:rFonts w:hint="eastAsia" w:ascii="黑体" w:hAnsi="黑体" w:eastAsia="黑体"/>
          <w:bCs/>
          <w:kern w:val="0"/>
          <w:sz w:val="32"/>
          <w:szCs w:val="32"/>
        </w:rPr>
        <w:t>目  录</w:t>
      </w:r>
    </w:p>
    <w:p>
      <w:pPr>
        <w:spacing w:line="540" w:lineRule="exact"/>
        <w:rPr>
          <w:rFonts w:ascii="仿宋_GB2312" w:hAnsi="宋体" w:eastAsia="仿宋_GB2312"/>
          <w:b/>
          <w:kern w:val="0"/>
          <w:sz w:val="32"/>
          <w:szCs w:val="32"/>
        </w:rPr>
      </w:pP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第一部分 部门单位概况</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一、主要职能</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二、</w:t>
      </w:r>
      <w:r>
        <w:rPr>
          <w:rFonts w:hint="eastAsia" w:ascii="仿宋_GB2312" w:eastAsia="仿宋_GB2312"/>
          <w:sz w:val="32"/>
          <w:szCs w:val="32"/>
        </w:rPr>
        <w:t>机构设置情况</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第二部分 部门决算情况说明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一、部门收支总体情况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（一）部门收入支出决算总体情况说明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（二）部门收入总体情况说明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（三）部门支出总体情况说明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二、部门财政拨款收支情况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（一）财政拨款收支总体情况说明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（二）一般公共预算收支决算情况说明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（三）政府性基金预算收支决算情况说明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三、部门结转结余情况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四、一般公共预算“三公”经费支出情况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五、机关运行经费支出情况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六、政府采购情况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七、其他重要事项的情况</w:t>
      </w:r>
    </w:p>
    <w:p>
      <w:pPr>
        <w:spacing w:line="540" w:lineRule="exact"/>
        <w:ind w:firstLine="640" w:firstLineChars="200"/>
        <w:rPr>
          <w:rFonts w:ascii="仿宋_GB2312" w:eastAsia="仿宋_GB2312"/>
          <w:sz w:val="32"/>
          <w:szCs w:val="32"/>
        </w:rPr>
      </w:pPr>
      <w:bookmarkStart w:id="0" w:name="OLE_LINK94"/>
      <w:bookmarkStart w:id="1" w:name="OLE_LINK95"/>
      <w:r>
        <w:rPr>
          <w:rFonts w:hint="eastAsia" w:ascii="仿宋_GB2312" w:eastAsia="仿宋_GB2312"/>
          <w:sz w:val="32"/>
          <w:szCs w:val="32"/>
        </w:rPr>
        <w:t>（一）国有资产占用情况说明</w:t>
      </w:r>
      <w:bookmarkEnd w:id="0"/>
      <w:bookmarkEnd w:id="1"/>
    </w:p>
    <w:p>
      <w:pPr>
        <w:spacing w:line="540" w:lineRule="exact"/>
        <w:ind w:firstLine="640" w:firstLineChars="200"/>
        <w:rPr>
          <w:rFonts w:ascii="仿宋_GB2312" w:eastAsia="仿宋_GB2312"/>
          <w:sz w:val="32"/>
          <w:szCs w:val="32"/>
        </w:rPr>
      </w:pPr>
      <w:bookmarkStart w:id="2" w:name="OLE_LINK96"/>
      <w:r>
        <w:rPr>
          <w:rFonts w:hint="eastAsia" w:ascii="仿宋_GB2312" w:eastAsia="仿宋_GB2312"/>
          <w:sz w:val="32"/>
          <w:szCs w:val="32"/>
        </w:rPr>
        <w:t>（二）预算绩效情况的说明</w:t>
      </w:r>
      <w:bookmarkEnd w:id="2"/>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第三部分 专业名词解释</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第四部分 部</w:t>
      </w:r>
      <w:r>
        <w:rPr>
          <w:rFonts w:hint="eastAsia" w:ascii="黑体" w:hAnsi="黑体" w:eastAsia="黑体"/>
          <w:sz w:val="32"/>
          <w:szCs w:val="32"/>
        </w:rPr>
        <w:t>门决算公开的8张报表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《一般公共预算财政拨款“三公”经费支出决算表》</w:t>
      </w:r>
    </w:p>
    <w:p>
      <w:pPr>
        <w:spacing w:line="540" w:lineRule="exact"/>
        <w:ind w:firstLine="640" w:firstLineChars="200"/>
        <w:rPr>
          <w:rFonts w:ascii="仿宋_GB2312" w:hAnsi="宋体" w:eastAsia="仿宋_GB2312"/>
          <w:sz w:val="32"/>
          <w:szCs w:val="32"/>
        </w:rPr>
      </w:pPr>
      <w:r>
        <w:rPr>
          <w:rFonts w:hint="eastAsia" w:ascii="仿宋_GB2312" w:eastAsia="仿宋_GB2312"/>
          <w:sz w:val="32"/>
          <w:szCs w:val="32"/>
        </w:rPr>
        <w:t>《政府性基金预算财政拨款收入支出决算表》</w:t>
      </w:r>
    </w:p>
    <w:p>
      <w:pPr>
        <w:spacing w:line="540" w:lineRule="exact"/>
        <w:ind w:firstLine="640" w:firstLineChars="200"/>
        <w:rPr>
          <w:rFonts w:ascii="黑体" w:hAnsi="黑体" w:eastAsia="黑体"/>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第一部分 部门单位概况</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一、主要职能</w:t>
      </w:r>
    </w:p>
    <w:p>
      <w:pPr>
        <w:spacing w:line="500" w:lineRule="exact"/>
        <w:rPr>
          <w:rFonts w:ascii="黑体" w:hAnsi="黑体" w:eastAsia="黑体" w:cs="宋体"/>
          <w:bCs/>
          <w:kern w:val="0"/>
          <w:sz w:val="32"/>
          <w:szCs w:val="32"/>
        </w:rPr>
      </w:pPr>
      <w:r>
        <w:rPr>
          <w:rFonts w:hint="eastAsia" w:ascii="仿宋_GB2312" w:eastAsia="仿宋_GB2312"/>
          <w:sz w:val="32"/>
          <w:szCs w:val="32"/>
        </w:rPr>
        <w:t xml:space="preserve">    1、贯彻落实党和国家在农村的各项方针政策和法律法规，做好农业、农村、农民工作。</w:t>
      </w:r>
      <w:r>
        <w:rPr>
          <w:rFonts w:hint="eastAsia" w:ascii="仿宋_GB2312" w:eastAsia="仿宋_GB2312"/>
          <w:sz w:val="32"/>
          <w:szCs w:val="32"/>
        </w:rPr>
        <w:br w:type="textWrapping"/>
      </w:r>
      <w:r>
        <w:rPr>
          <w:rFonts w:hint="eastAsia" w:ascii="仿宋_GB2312" w:eastAsia="仿宋_GB2312"/>
          <w:sz w:val="32"/>
          <w:szCs w:val="32"/>
        </w:rPr>
        <w:t xml:space="preserve">    2、围绕促进经济发展、增加农民收入，强化公共服务、着力改善民生，加强社会管理、维护农村和谐，推进基层民主、促进农村和谐四个方面全面履行职能。</w:t>
      </w:r>
      <w:r>
        <w:rPr>
          <w:rFonts w:hint="eastAsia" w:ascii="仿宋_GB2312" w:eastAsia="仿宋_GB2312"/>
          <w:sz w:val="32"/>
          <w:szCs w:val="32"/>
        </w:rPr>
        <w:br w:type="textWrapping"/>
      </w:r>
      <w:r>
        <w:rPr>
          <w:rFonts w:hint="eastAsia" w:ascii="仿宋_GB2312" w:eastAsia="仿宋_GB2312"/>
          <w:sz w:val="32"/>
          <w:szCs w:val="32"/>
        </w:rPr>
        <w:t xml:space="preserve">    3、把经济工作的着力点放在营造良好发展环境、扶持典型进行示范引导上来，提高经济发展的质量和水平。</w:t>
      </w:r>
      <w:r>
        <w:rPr>
          <w:rFonts w:hint="eastAsia" w:ascii="仿宋_GB2312" w:eastAsia="仿宋_GB2312"/>
          <w:sz w:val="32"/>
          <w:szCs w:val="32"/>
        </w:rPr>
        <w:br w:type="textWrapping"/>
      </w:r>
      <w:r>
        <w:rPr>
          <w:rFonts w:hint="eastAsia" w:ascii="仿宋_GB2312" w:eastAsia="仿宋_GB2312"/>
          <w:sz w:val="32"/>
          <w:szCs w:val="32"/>
        </w:rPr>
        <w:t xml:space="preserve">    4、做好乡村发展规划，推动产业结构调整。</w:t>
      </w:r>
      <w:r>
        <w:rPr>
          <w:rFonts w:hint="eastAsia" w:ascii="仿宋_GB2312" w:eastAsia="仿宋_GB2312"/>
          <w:sz w:val="32"/>
          <w:szCs w:val="32"/>
        </w:rPr>
        <w:br w:type="textWrapping"/>
      </w:r>
      <w:r>
        <w:rPr>
          <w:rFonts w:hint="eastAsia" w:ascii="仿宋_GB2312" w:eastAsia="仿宋_GB2312"/>
          <w:sz w:val="32"/>
          <w:szCs w:val="32"/>
        </w:rPr>
        <w:t xml:space="preserve">    5、加强农村基础设施、新型农村服务体系、村镇规划建设，落实强农惠农措施，着力解决群众生产生活中的突出问题，切实维护农民合法权益。尊重农民的生产经营自主权，不得干预企业的具体生产经营活动。</w:t>
      </w:r>
      <w:r>
        <w:rPr>
          <w:rFonts w:hint="eastAsia" w:ascii="仿宋_GB2312" w:eastAsia="仿宋_GB2312"/>
          <w:sz w:val="32"/>
          <w:szCs w:val="32"/>
        </w:rPr>
        <w:br w:type="textWrapping"/>
      </w:r>
      <w:r>
        <w:rPr>
          <w:rFonts w:hint="eastAsia" w:ascii="仿宋_GB2312" w:eastAsia="仿宋_GB2312"/>
          <w:sz w:val="32"/>
          <w:szCs w:val="32"/>
        </w:rPr>
        <w:t xml:space="preserve">    6、增强社会管理和公共服务职能。拓宽服务渠道，改进服务方式，通过“一站式”服务、办事代理制等多种形式，方便群众办事。</w:t>
      </w:r>
      <w:r>
        <w:rPr>
          <w:rFonts w:hint="eastAsia" w:ascii="仿宋_GB2312" w:eastAsia="仿宋_GB2312"/>
          <w:sz w:val="32"/>
          <w:szCs w:val="32"/>
        </w:rPr>
        <w:br w:type="textWrapping"/>
      </w:r>
      <w:r>
        <w:rPr>
          <w:rFonts w:hint="eastAsia" w:ascii="仿宋_GB2312" w:eastAsia="仿宋_GB2312"/>
          <w:sz w:val="32"/>
          <w:szCs w:val="32"/>
        </w:rPr>
        <w:t xml:space="preserve">    7、推进依法行政，严格依法履行职责，为农民提供更多的公共服务，促进社会事业发展。综合发挥人民调解、行政调解和司法调解的作用，加强农村社会治安综合治理，及时化解农村社会矛盾，确保社会和谐。指导村民自治，推动农村建设，促进社会组织健康发展，增强社会自治功能。</w:t>
      </w:r>
      <w:r>
        <w:rPr>
          <w:rFonts w:hint="eastAsia" w:ascii="仿宋_GB2312" w:eastAsia="仿宋_GB2312"/>
          <w:sz w:val="32"/>
          <w:szCs w:val="32"/>
        </w:rPr>
        <w:br w:type="textWrapping"/>
      </w:r>
      <w:r>
        <w:rPr>
          <w:rFonts w:hint="eastAsia" w:ascii="仿宋_GB2312" w:eastAsia="仿宋_GB2312"/>
          <w:sz w:val="32"/>
          <w:szCs w:val="32"/>
        </w:rPr>
        <w:t xml:space="preserve">    8、加强乡镇对村（居）民委员会选举、村务公开、资产财务的指导和监管。</w:t>
      </w:r>
      <w:r>
        <w:rPr>
          <w:rFonts w:hint="eastAsia" w:ascii="仿宋_GB2312" w:eastAsia="仿宋_GB2312"/>
          <w:sz w:val="32"/>
          <w:szCs w:val="32"/>
        </w:rPr>
        <w:br w:type="textWrapping"/>
      </w:r>
      <w:r>
        <w:rPr>
          <w:rFonts w:hint="eastAsia" w:ascii="仿宋_GB2312" w:eastAsia="仿宋_GB2312"/>
          <w:sz w:val="32"/>
          <w:szCs w:val="32"/>
        </w:rPr>
        <w:t xml:space="preserve">    9、加强国家级历史文化名镇的保护与管理，弘扬民族历史文化工作。</w:t>
      </w:r>
      <w:r>
        <w:rPr>
          <w:rFonts w:hint="eastAsia" w:ascii="仿宋_GB2312" w:eastAsia="仿宋_GB2312"/>
          <w:sz w:val="32"/>
          <w:szCs w:val="32"/>
        </w:rPr>
        <w:br w:type="textWrapping"/>
      </w:r>
      <w:r>
        <w:rPr>
          <w:rFonts w:hint="eastAsia" w:ascii="仿宋_GB2312" w:eastAsia="仿宋_GB2312"/>
          <w:sz w:val="32"/>
          <w:szCs w:val="32"/>
        </w:rPr>
        <w:t xml:space="preserve">    10、承办上级党委、政府交办的其它工作。 </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二、机构设置情况</w:t>
      </w:r>
    </w:p>
    <w:p>
      <w:pPr>
        <w:spacing w:line="540" w:lineRule="exact"/>
        <w:ind w:firstLine="640" w:firstLineChars="200"/>
        <w:rPr>
          <w:rFonts w:ascii="仿宋_GB2312" w:hAnsi="宋体" w:eastAsia="仿宋_GB2312" w:cs="宋体"/>
          <w:kern w:val="0"/>
          <w:sz w:val="32"/>
          <w:szCs w:val="32"/>
        </w:rPr>
      </w:pPr>
      <w:bookmarkStart w:id="3" w:name="OLE_LINK51"/>
      <w:r>
        <w:rPr>
          <w:rFonts w:hint="eastAsia" w:ascii="仿宋_GB2312" w:eastAsia="仿宋_GB2312"/>
          <w:sz w:val="32"/>
          <w:szCs w:val="32"/>
        </w:rPr>
        <w:t>从决算单位构成看，</w:t>
      </w:r>
      <w:r>
        <w:rPr>
          <w:rFonts w:ascii="仿宋_GB2312" w:eastAsia="仿宋_GB2312"/>
          <w:sz w:val="32"/>
          <w:szCs w:val="32"/>
        </w:rPr>
        <w:t>新疆喀什地区英吉沙县色提力乡人民政府（本级）</w:t>
      </w:r>
      <w:r>
        <w:rPr>
          <w:rFonts w:hint="eastAsia" w:ascii="仿宋_GB2312" w:eastAsia="仿宋_GB2312"/>
          <w:sz w:val="32"/>
          <w:szCs w:val="32"/>
        </w:rPr>
        <w:t>部门决算包括：</w:t>
      </w:r>
      <w:r>
        <w:rPr>
          <w:rFonts w:ascii="仿宋_GB2312" w:eastAsia="仿宋_GB2312"/>
          <w:sz w:val="32"/>
          <w:szCs w:val="32"/>
        </w:rPr>
        <w:t>新疆喀什地区英吉沙县色提力乡人民政府（本级）</w:t>
      </w:r>
      <w:r>
        <w:rPr>
          <w:rFonts w:hint="eastAsia" w:ascii="仿宋_GB2312" w:eastAsia="仿宋_GB2312"/>
          <w:sz w:val="32"/>
          <w:szCs w:val="32"/>
        </w:rPr>
        <w:t>部门本级决算、所属单位决算等。</w:t>
      </w:r>
    </w:p>
    <w:p>
      <w:pPr>
        <w:spacing w:line="540" w:lineRule="exact"/>
        <w:ind w:firstLine="640" w:firstLineChars="200"/>
        <w:rPr>
          <w:rFonts w:ascii="仿宋_GB2312" w:eastAsia="仿宋_GB2312"/>
          <w:spacing w:val="-6"/>
          <w:sz w:val="32"/>
          <w:szCs w:val="32"/>
        </w:rPr>
      </w:pPr>
      <w:r>
        <w:rPr>
          <w:rFonts w:hint="eastAsia" w:ascii="仿宋_GB2312" w:eastAsia="仿宋_GB2312"/>
          <w:sz w:val="32"/>
          <w:szCs w:val="32"/>
        </w:rPr>
        <w:t>纳入</w:t>
      </w:r>
      <w:r>
        <w:rPr>
          <w:rFonts w:ascii="仿宋_GB2312" w:eastAsia="仿宋_GB2312"/>
          <w:sz w:val="32"/>
          <w:szCs w:val="32"/>
        </w:rPr>
        <w:t>新疆喀什地区英吉沙县色提力乡人民政府（本级）</w:t>
      </w:r>
      <w:r>
        <w:rPr>
          <w:rFonts w:hint="eastAsia" w:ascii="仿宋_GB2312" w:eastAsia="仿宋_GB2312"/>
          <w:sz w:val="32"/>
          <w:szCs w:val="32"/>
        </w:rPr>
        <w:t>2018年部门决算编制范围的单位名单见下表</w:t>
      </w:r>
      <w:r>
        <w:rPr>
          <w:rFonts w:hint="eastAsia" w:ascii="仿宋_GB2312" w:eastAsia="仿宋_GB2312"/>
          <w:spacing w:val="-6"/>
          <w:sz w:val="32"/>
          <w:szCs w:val="32"/>
        </w:rPr>
        <w:t>：</w:t>
      </w:r>
      <w:bookmarkEnd w:id="3"/>
    </w:p>
    <w:p>
      <w:pPr>
        <w:spacing w:line="540" w:lineRule="exact"/>
        <w:ind w:firstLine="616" w:firstLineChars="200"/>
        <w:rPr>
          <w:rFonts w:ascii="仿宋_GB2312" w:eastAsia="仿宋_GB2312"/>
          <w:spacing w:val="-6"/>
          <w:sz w:val="32"/>
          <w:szCs w:val="32"/>
        </w:rPr>
      </w:pPr>
    </w:p>
    <w:p>
      <w:pPr>
        <w:spacing w:line="540" w:lineRule="exact"/>
        <w:ind w:firstLine="616" w:firstLineChars="200"/>
        <w:rPr>
          <w:rFonts w:ascii="仿宋_GB2312" w:eastAsia="仿宋_GB2312"/>
          <w:spacing w:val="-6"/>
          <w:sz w:val="32"/>
          <w:szCs w:val="32"/>
        </w:rPr>
      </w:pPr>
    </w:p>
    <w:tbl>
      <w:tblPr>
        <w:tblStyle w:val="10"/>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56"/>
        <w:gridCol w:w="3870"/>
        <w:gridCol w:w="25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3056" w:type="dxa"/>
            <w:vAlign w:val="center"/>
          </w:tcPr>
          <w:p>
            <w:pPr>
              <w:spacing w:line="50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序号</w:t>
            </w:r>
          </w:p>
        </w:tc>
        <w:tc>
          <w:tcPr>
            <w:tcW w:w="3870" w:type="dxa"/>
            <w:vAlign w:val="center"/>
          </w:tcPr>
          <w:p>
            <w:pPr>
              <w:spacing w:line="50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单位名称</w:t>
            </w:r>
          </w:p>
        </w:tc>
        <w:tc>
          <w:tcPr>
            <w:tcW w:w="2538" w:type="dxa"/>
            <w:vAlign w:val="center"/>
          </w:tcPr>
          <w:p>
            <w:pPr>
              <w:spacing w:line="500" w:lineRule="exact"/>
              <w:ind w:firstLine="1280" w:firstLineChars="400"/>
              <w:rPr>
                <w:rFonts w:ascii="仿宋_GB2312" w:eastAsia="仿宋_GB2312"/>
                <w:color w:val="000000" w:themeColor="text1"/>
                <w:sz w:val="32"/>
                <w:szCs w:val="32"/>
                <w:highlight w:val="yellow"/>
              </w:rPr>
            </w:pPr>
            <w:r>
              <w:rPr>
                <w:rFonts w:hint="eastAsia" w:ascii="仿宋_GB2312" w:eastAsia="仿宋_GB2312"/>
                <w:color w:val="000000" w:themeColor="text1"/>
                <w:sz w:val="32"/>
                <w:szCs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056" w:type="dxa"/>
          </w:tcPr>
          <w:p>
            <w:pPr>
              <w:spacing w:line="500" w:lineRule="exact"/>
              <w:ind w:firstLine="640" w:firstLineChars="200"/>
              <w:jc w:val="left"/>
            </w:pPr>
            <w:r>
              <w:rPr>
                <w:rFonts w:eastAsia="Times New Roman"/>
                <w:color w:val="000000"/>
                <w:position w:val="-1"/>
                <w:sz w:val="32"/>
              </w:rPr>
              <w:t>1</w:t>
            </w:r>
          </w:p>
        </w:tc>
        <w:tc>
          <w:tcPr>
            <w:tcW w:w="3870" w:type="dxa"/>
          </w:tcPr>
          <w:p>
            <w:pPr>
              <w:spacing w:line="500" w:lineRule="exact"/>
              <w:ind w:firstLine="640" w:firstLineChars="200"/>
              <w:jc w:val="left"/>
            </w:pPr>
            <w:r>
              <w:rPr>
                <w:rFonts w:eastAsia="Times New Roman"/>
                <w:color w:val="000000"/>
                <w:position w:val="-1"/>
                <w:sz w:val="32"/>
              </w:rPr>
              <w:t>新疆喀什地区英吉沙县色提力乡人民政府(本级</w:t>
            </w:r>
          </w:p>
        </w:tc>
        <w:tc>
          <w:tcPr>
            <w:tcW w:w="2538" w:type="dxa"/>
            <w:vAlign w:val="center"/>
          </w:tcPr>
          <w:p>
            <w:pPr>
              <w:spacing w:line="500" w:lineRule="exact"/>
              <w:ind w:firstLine="420" w:firstLineChars="200"/>
              <w:jc w:val="left"/>
            </w:pPr>
          </w:p>
        </w:tc>
      </w:tr>
    </w:tbl>
    <w:p>
      <w:pPr>
        <w:spacing w:line="500" w:lineRule="exact"/>
        <w:rPr>
          <w:rFonts w:ascii="仿宋_GB2312" w:hAnsi="宋体" w:eastAsia="仿宋_GB2312" w:cs="宋体"/>
          <w:kern w:val="0"/>
          <w:sz w:val="32"/>
          <w:szCs w:val="32"/>
        </w:rPr>
      </w:pPr>
    </w:p>
    <w:p>
      <w:pPr>
        <w:spacing w:line="500" w:lineRule="exact"/>
        <w:rPr>
          <w:rFonts w:ascii="仿宋_GB2312" w:hAnsi="宋体" w:eastAsia="仿宋_GB2312" w:cs="宋体"/>
          <w:kern w:val="0"/>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第二部分 部门决算情况说明</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一、部门收支总体情况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（一）部门收入支出决算总体情况说明</w:t>
      </w:r>
    </w:p>
    <w:p>
      <w:pPr>
        <w:spacing w:line="540" w:lineRule="exact"/>
        <w:ind w:firstLine="640" w:firstLineChars="200"/>
        <w:rPr>
          <w:rFonts w:ascii="仿宋_GB2312" w:hAnsi="Calibri" w:eastAsia="仿宋_GB2312"/>
          <w:color w:val="000000" w:themeColor="text1"/>
          <w:sz w:val="32"/>
          <w:szCs w:val="32"/>
          <w:lang w:val="en-GB"/>
        </w:rPr>
      </w:pPr>
      <w:bookmarkStart w:id="4" w:name="OLE_LINK99"/>
      <w:bookmarkStart w:id="5" w:name="OLE_LINK100"/>
      <w:bookmarkStart w:id="6" w:name="OLE_LINK52"/>
      <w:r>
        <w:rPr>
          <w:rFonts w:hint="eastAsia" w:ascii="仿宋_GB2312" w:eastAsia="仿宋_GB2312"/>
          <w:color w:val="000000" w:themeColor="text1"/>
          <w:sz w:val="32"/>
          <w:szCs w:val="32"/>
        </w:rPr>
        <w:t>2018年度收入</w:t>
      </w:r>
      <w:r>
        <w:rPr>
          <w:rFonts w:hint="eastAsia" w:ascii="仿宋_GB2312" w:eastAsia="仿宋_GB2312"/>
          <w:sz w:val="32"/>
          <w:szCs w:val="32"/>
        </w:rPr>
        <w:t>3,390.57</w:t>
      </w:r>
      <w:r>
        <w:rPr>
          <w:rFonts w:hint="eastAsia" w:ascii="仿宋_GB2312" w:eastAsia="仿宋_GB2312"/>
          <w:color w:val="000000" w:themeColor="text1"/>
          <w:sz w:val="32"/>
          <w:szCs w:val="32"/>
        </w:rPr>
        <w:t>万元</w:t>
      </w:r>
      <w:bookmarkEnd w:id="4"/>
      <w:bookmarkEnd w:id="5"/>
      <w:r>
        <w:rPr>
          <w:rFonts w:hint="eastAsia" w:ascii="仿宋_GB2312" w:eastAsia="仿宋_GB2312"/>
          <w:sz w:val="32"/>
          <w:szCs w:val="32"/>
        </w:rPr>
        <w:t>，与上年相比，减少1,439.53万元，降低29.8%，增减变化主要原因是：</w:t>
      </w:r>
      <w:r>
        <w:rPr>
          <w:rFonts w:hint="eastAsia" w:ascii="仿宋_GB2312" w:eastAsia="仿宋_GB2312"/>
          <w:color w:val="000000" w:themeColor="text1"/>
          <w:sz w:val="32"/>
          <w:szCs w:val="32"/>
        </w:rPr>
        <w:t>缩减经费，其他收入减少；</w:t>
      </w:r>
      <w:bookmarkEnd w:id="6"/>
      <w:bookmarkStart w:id="7" w:name="OLE_LINK53"/>
      <w:r>
        <w:rPr>
          <w:rFonts w:hint="eastAsia" w:ascii="仿宋_GB2312" w:eastAsia="仿宋_GB2312"/>
          <w:color w:val="000000" w:themeColor="text1"/>
          <w:sz w:val="32"/>
          <w:szCs w:val="32"/>
        </w:rPr>
        <w:t>支出</w:t>
      </w:r>
      <w:r>
        <w:rPr>
          <w:rFonts w:hint="eastAsia" w:ascii="仿宋_GB2312" w:eastAsia="仿宋_GB2312"/>
          <w:sz w:val="32"/>
          <w:szCs w:val="32"/>
        </w:rPr>
        <w:t>4,709.57</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，与上年相比，增加1,198.47万元，增长34.13%，增减变化主要原因是：</w:t>
      </w:r>
      <w:r>
        <w:rPr>
          <w:rFonts w:hint="eastAsia" w:ascii="仿宋_GB2312" w:eastAsia="仿宋_GB2312"/>
          <w:color w:val="000000" w:themeColor="text1"/>
          <w:sz w:val="32"/>
          <w:szCs w:val="32"/>
        </w:rPr>
        <w:t>由于惠农补贴项目增多，补贴支出增加；</w:t>
      </w:r>
      <w:bookmarkEnd w:id="7"/>
      <w:bookmarkStart w:id="8" w:name="OLE_LINK54"/>
      <w:r>
        <w:rPr>
          <w:rFonts w:hint="eastAsia" w:ascii="仿宋_GB2312" w:eastAsia="仿宋_GB2312"/>
          <w:color w:val="000000" w:themeColor="text1"/>
          <w:sz w:val="32"/>
          <w:szCs w:val="32"/>
        </w:rPr>
        <w:t>结余</w:t>
      </w:r>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，与上年相比，减少1,319万元，下降100%，增减变化主要原因是：</w:t>
      </w:r>
      <w:r>
        <w:rPr>
          <w:rFonts w:ascii="仿宋_GB2312" w:eastAsia="仿宋_GB2312"/>
          <w:color w:val="000000" w:themeColor="text1"/>
          <w:sz w:val="32"/>
          <w:szCs w:val="32"/>
        </w:rPr>
        <w:t>本年项目执行到位，年末无结余结转。</w:t>
      </w:r>
      <w:bookmarkEnd w:id="8"/>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（二）部门收入总体情况说明</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本年收入合计</w:t>
      </w:r>
      <w:r>
        <w:rPr>
          <w:rFonts w:hint="eastAsia" w:ascii="仿宋_GB2312" w:eastAsia="仿宋_GB2312"/>
          <w:sz w:val="32"/>
          <w:szCs w:val="32"/>
        </w:rPr>
        <w:t>3,390.57</w:t>
      </w:r>
      <w:r>
        <w:rPr>
          <w:rFonts w:hint="eastAsia" w:ascii="仿宋_GB2312" w:eastAsia="仿宋_GB2312"/>
          <w:color w:val="000000" w:themeColor="text1"/>
          <w:sz w:val="32"/>
          <w:szCs w:val="32"/>
        </w:rPr>
        <w:t>万元，其中：</w:t>
      </w:r>
      <w:bookmarkStart w:id="9" w:name="OLE_LINK1"/>
      <w:r>
        <w:rPr>
          <w:rFonts w:hint="eastAsia" w:ascii="仿宋_GB2312" w:eastAsia="仿宋_GB2312"/>
          <w:color w:val="000000" w:themeColor="text1"/>
          <w:sz w:val="32"/>
          <w:szCs w:val="32"/>
        </w:rPr>
        <w:t>财政拨款收入</w:t>
      </w:r>
      <w:bookmarkEnd w:id="9"/>
      <w:r>
        <w:rPr>
          <w:rFonts w:hint="eastAsia" w:ascii="仿宋_GB2312" w:eastAsia="仿宋_GB2312"/>
          <w:sz w:val="32"/>
          <w:szCs w:val="32"/>
        </w:rPr>
        <w:t>3,179.21</w:t>
      </w:r>
      <w:r>
        <w:rPr>
          <w:rFonts w:hint="eastAsia" w:ascii="仿宋_GB2312" w:eastAsia="仿宋_GB2312"/>
          <w:color w:val="000000" w:themeColor="text1"/>
          <w:sz w:val="32"/>
          <w:szCs w:val="32"/>
        </w:rPr>
        <w:t>万元，占</w:t>
      </w:r>
      <w:r>
        <w:rPr>
          <w:rFonts w:hint="eastAsia" w:ascii="仿宋_GB2312" w:eastAsia="仿宋_GB2312"/>
          <w:sz w:val="32"/>
          <w:szCs w:val="32"/>
        </w:rPr>
        <w:t>93.77%</w:t>
      </w:r>
      <w:r>
        <w:rPr>
          <w:rFonts w:hint="eastAsia" w:ascii="仿宋_GB2312" w:eastAsia="仿宋_GB2312"/>
          <w:color w:val="000000" w:themeColor="text1"/>
          <w:sz w:val="32"/>
          <w:szCs w:val="32"/>
        </w:rPr>
        <w:t>；</w:t>
      </w:r>
      <w:bookmarkStart w:id="10" w:name="OLE_LINK2"/>
      <w:r>
        <w:rPr>
          <w:rFonts w:hint="eastAsia" w:ascii="仿宋_GB2312" w:eastAsia="仿宋_GB2312"/>
          <w:color w:val="000000" w:themeColor="text1"/>
          <w:sz w:val="32"/>
          <w:szCs w:val="32"/>
        </w:rPr>
        <w:t>上级补助收入</w:t>
      </w:r>
      <w:bookmarkEnd w:id="10"/>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1" w:name="OLE_LINK3"/>
      <w:r>
        <w:rPr>
          <w:rFonts w:hint="eastAsia" w:ascii="仿宋_GB2312" w:eastAsia="仿宋_GB2312"/>
          <w:color w:val="000000" w:themeColor="text1"/>
          <w:sz w:val="32"/>
          <w:szCs w:val="32"/>
        </w:rPr>
        <w:t>事业收入</w:t>
      </w:r>
      <w:bookmarkEnd w:id="11"/>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2" w:name="OLE_LINK4"/>
      <w:r>
        <w:rPr>
          <w:rFonts w:hint="eastAsia" w:ascii="仿宋_GB2312" w:eastAsia="仿宋_GB2312"/>
          <w:color w:val="000000" w:themeColor="text1"/>
          <w:sz w:val="32"/>
          <w:szCs w:val="32"/>
        </w:rPr>
        <w:t>经营收入</w:t>
      </w:r>
      <w:bookmarkEnd w:id="12"/>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3" w:name="OLE_LINK5"/>
      <w:r>
        <w:rPr>
          <w:rFonts w:hint="eastAsia" w:ascii="仿宋_GB2312" w:eastAsia="仿宋_GB2312"/>
          <w:color w:val="000000" w:themeColor="text1"/>
          <w:sz w:val="32"/>
          <w:szCs w:val="32"/>
        </w:rPr>
        <w:t>附属单位缴款</w:t>
      </w:r>
      <w:bookmarkEnd w:id="13"/>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4" w:name="OLE_LINK6"/>
      <w:r>
        <w:rPr>
          <w:rFonts w:hint="eastAsia" w:ascii="仿宋_GB2312" w:eastAsia="仿宋_GB2312"/>
          <w:color w:val="000000" w:themeColor="text1"/>
          <w:sz w:val="32"/>
          <w:szCs w:val="32"/>
        </w:rPr>
        <w:t>其他收入</w:t>
      </w:r>
      <w:bookmarkEnd w:id="14"/>
      <w:r>
        <w:rPr>
          <w:rFonts w:hint="eastAsia" w:ascii="仿宋_GB2312" w:eastAsia="仿宋_GB2312"/>
          <w:sz w:val="32"/>
          <w:szCs w:val="32"/>
        </w:rPr>
        <w:t>211.36</w:t>
      </w:r>
      <w:r>
        <w:rPr>
          <w:rFonts w:hint="eastAsia" w:ascii="仿宋_GB2312" w:eastAsia="仿宋_GB2312"/>
          <w:color w:val="000000" w:themeColor="text1"/>
          <w:sz w:val="32"/>
          <w:szCs w:val="32"/>
        </w:rPr>
        <w:t>万元，占</w:t>
      </w:r>
      <w:r>
        <w:rPr>
          <w:rFonts w:hint="eastAsia" w:ascii="仿宋_GB2312" w:eastAsia="仿宋_GB2312"/>
          <w:sz w:val="32"/>
          <w:szCs w:val="32"/>
        </w:rPr>
        <w:t>6.23%</w:t>
      </w:r>
      <w:r>
        <w:rPr>
          <w:rFonts w:hint="eastAsia" w:ascii="仿宋_GB2312" w:eastAsia="仿宋_GB2312"/>
          <w:color w:val="000000" w:themeColor="text1"/>
          <w:sz w:val="32"/>
          <w:szCs w:val="32"/>
        </w:rPr>
        <w:t>。</w:t>
      </w:r>
    </w:p>
    <w:p>
      <w:pPr>
        <w:spacing w:line="540" w:lineRule="exact"/>
        <w:ind w:firstLine="640" w:firstLineChars="200"/>
        <w:rPr>
          <w:rFonts w:ascii="仿宋_GB2312" w:eastAsia="仿宋_GB2312"/>
          <w:sz w:val="32"/>
          <w:szCs w:val="32"/>
        </w:rPr>
      </w:pPr>
      <w:bookmarkStart w:id="15" w:name="OLE_LINK55"/>
      <w:r>
        <w:rPr>
          <w:rFonts w:hint="eastAsia" w:ascii="仿宋_GB2312" w:eastAsia="仿宋_GB2312"/>
          <w:sz w:val="32"/>
          <w:szCs w:val="32"/>
        </w:rPr>
        <w:t>与年初预算数相比情</w:t>
      </w:r>
      <w:r>
        <w:rPr>
          <w:rFonts w:hint="eastAsia" w:ascii="仿宋_GB2312" w:eastAsia="仿宋_GB2312"/>
          <w:color w:val="000000" w:themeColor="text1"/>
          <w:sz w:val="32"/>
          <w:szCs w:val="32"/>
        </w:rPr>
        <w:t>况：本年收入年初预算数941.94万元</w:t>
      </w:r>
      <w:r>
        <w:rPr>
          <w:rFonts w:hint="eastAsia" w:ascii="仿宋_GB2312" w:eastAsia="仿宋_GB2312"/>
          <w:sz w:val="32"/>
          <w:szCs w:val="32"/>
        </w:rPr>
        <w:t>，决算数3,390.57万元</w:t>
      </w:r>
      <w:r>
        <w:rPr>
          <w:rFonts w:ascii="仿宋_GB2312" w:eastAsia="仿宋_GB2312"/>
          <w:sz w:val="32"/>
          <w:szCs w:val="32"/>
        </w:rPr>
        <w:t>，预决算差异率259.96%，差异主要原因是由于惠农补贴项目增多，补贴收入增加。</w:t>
      </w:r>
      <w:bookmarkEnd w:id="15"/>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（三）部门支出总体情况说明</w:t>
      </w:r>
    </w:p>
    <w:p>
      <w:pPr>
        <w:spacing w:line="540" w:lineRule="exact"/>
        <w:ind w:firstLine="640" w:firstLineChars="200"/>
        <w:rPr>
          <w:rFonts w:ascii="仿宋_GB2312" w:eastAsia="仿宋_GB2312"/>
          <w:color w:val="000000" w:themeColor="text1"/>
          <w:spacing w:val="-6"/>
          <w:sz w:val="32"/>
          <w:szCs w:val="32"/>
        </w:rPr>
      </w:pPr>
      <w:bookmarkStart w:id="16" w:name="OLE_LINK7"/>
      <w:r>
        <w:rPr>
          <w:rFonts w:hint="eastAsia" w:ascii="仿宋_GB2312" w:eastAsia="仿宋_GB2312"/>
          <w:color w:val="000000" w:themeColor="text1"/>
          <w:sz w:val="32"/>
          <w:szCs w:val="32"/>
        </w:rPr>
        <w:t>本年支出合计</w:t>
      </w:r>
      <w:bookmarkEnd w:id="16"/>
      <w:r>
        <w:rPr>
          <w:rFonts w:hint="eastAsia" w:ascii="仿宋_GB2312" w:eastAsia="仿宋_GB2312"/>
          <w:sz w:val="32"/>
          <w:szCs w:val="32"/>
        </w:rPr>
        <w:t>4,709.57</w:t>
      </w:r>
      <w:r>
        <w:rPr>
          <w:rFonts w:hint="eastAsia" w:ascii="仿宋_GB2312" w:eastAsia="仿宋_GB2312"/>
          <w:color w:val="000000" w:themeColor="text1"/>
          <w:sz w:val="32"/>
          <w:szCs w:val="32"/>
        </w:rPr>
        <w:t>万元，其中：</w:t>
      </w:r>
      <w:bookmarkStart w:id="17" w:name="OLE_LINK8"/>
      <w:r>
        <w:rPr>
          <w:rFonts w:hint="eastAsia" w:ascii="仿宋_GB2312" w:eastAsia="仿宋_GB2312"/>
          <w:color w:val="000000" w:themeColor="text1"/>
          <w:sz w:val="32"/>
          <w:szCs w:val="32"/>
        </w:rPr>
        <w:t>基本支出</w:t>
      </w:r>
      <w:bookmarkEnd w:id="17"/>
      <w:r>
        <w:rPr>
          <w:rFonts w:hint="eastAsia" w:ascii="仿宋_GB2312" w:eastAsia="仿宋_GB2312"/>
          <w:sz w:val="32"/>
          <w:szCs w:val="32"/>
        </w:rPr>
        <w:t>1,410.1</w:t>
      </w:r>
      <w:r>
        <w:rPr>
          <w:rFonts w:hint="eastAsia" w:ascii="仿宋_GB2312" w:eastAsia="仿宋_GB2312"/>
          <w:color w:val="000000" w:themeColor="text1"/>
          <w:sz w:val="32"/>
          <w:szCs w:val="32"/>
        </w:rPr>
        <w:t>万元，占</w:t>
      </w:r>
      <w:r>
        <w:rPr>
          <w:rFonts w:hint="eastAsia" w:ascii="仿宋_GB2312" w:eastAsia="仿宋_GB2312"/>
          <w:sz w:val="32"/>
          <w:szCs w:val="32"/>
        </w:rPr>
        <w:t>29.94%</w:t>
      </w:r>
      <w:r>
        <w:rPr>
          <w:rFonts w:hint="eastAsia" w:ascii="仿宋_GB2312" w:eastAsia="仿宋_GB2312"/>
          <w:color w:val="000000" w:themeColor="text1"/>
          <w:sz w:val="32"/>
          <w:szCs w:val="32"/>
        </w:rPr>
        <w:t>；</w:t>
      </w:r>
      <w:bookmarkStart w:id="18" w:name="OLE_LINK9"/>
      <w:r>
        <w:rPr>
          <w:rFonts w:hint="eastAsia" w:ascii="仿宋_GB2312" w:eastAsia="仿宋_GB2312"/>
          <w:color w:val="000000" w:themeColor="text1"/>
          <w:sz w:val="32"/>
          <w:szCs w:val="32"/>
        </w:rPr>
        <w:t>项目支出</w:t>
      </w:r>
      <w:bookmarkEnd w:id="18"/>
      <w:r>
        <w:rPr>
          <w:rFonts w:hint="eastAsia" w:ascii="仿宋_GB2312" w:eastAsia="仿宋_GB2312"/>
          <w:sz w:val="32"/>
          <w:szCs w:val="32"/>
        </w:rPr>
        <w:t>3,299.47</w:t>
      </w:r>
      <w:r>
        <w:rPr>
          <w:rFonts w:hint="eastAsia" w:ascii="仿宋_GB2312" w:eastAsia="仿宋_GB2312"/>
          <w:color w:val="000000" w:themeColor="text1"/>
          <w:sz w:val="32"/>
          <w:szCs w:val="32"/>
        </w:rPr>
        <w:t>万元，占</w:t>
      </w:r>
      <w:r>
        <w:rPr>
          <w:rFonts w:hint="eastAsia" w:ascii="仿宋_GB2312" w:eastAsia="仿宋_GB2312"/>
          <w:sz w:val="32"/>
          <w:szCs w:val="32"/>
        </w:rPr>
        <w:t>70.06%</w:t>
      </w:r>
      <w:r>
        <w:rPr>
          <w:rFonts w:hint="eastAsia" w:ascii="仿宋_GB2312" w:eastAsia="仿宋_GB2312"/>
          <w:color w:val="000000" w:themeColor="text1"/>
          <w:sz w:val="32"/>
          <w:szCs w:val="32"/>
        </w:rPr>
        <w:t>；</w:t>
      </w:r>
      <w:bookmarkStart w:id="19" w:name="OLE_LINK10"/>
      <w:r>
        <w:rPr>
          <w:rFonts w:hint="eastAsia" w:ascii="仿宋_GB2312" w:eastAsia="仿宋_GB2312"/>
          <w:color w:val="000000" w:themeColor="text1"/>
          <w:sz w:val="32"/>
          <w:szCs w:val="32"/>
        </w:rPr>
        <w:t>上缴上级支出</w:t>
      </w:r>
      <w:bookmarkEnd w:id="19"/>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20" w:name="OLE_LINK11"/>
      <w:r>
        <w:rPr>
          <w:rFonts w:hint="eastAsia" w:ascii="仿宋_GB2312" w:eastAsia="仿宋_GB2312"/>
          <w:color w:val="000000" w:themeColor="text1"/>
          <w:spacing w:val="-6"/>
          <w:sz w:val="32"/>
          <w:szCs w:val="32"/>
        </w:rPr>
        <w:t>经营支出</w:t>
      </w:r>
      <w:bookmarkEnd w:id="20"/>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r>
        <w:rPr>
          <w:rFonts w:hint="eastAsia" w:ascii="仿宋_GB2312" w:eastAsia="仿宋_GB2312"/>
          <w:color w:val="000000" w:themeColor="text1"/>
          <w:spacing w:val="-6"/>
          <w:sz w:val="32"/>
          <w:szCs w:val="32"/>
        </w:rPr>
        <w:t>；</w:t>
      </w:r>
      <w:bookmarkStart w:id="21" w:name="OLE_LINK12"/>
      <w:r>
        <w:rPr>
          <w:rFonts w:hint="eastAsia" w:ascii="仿宋_GB2312" w:eastAsia="仿宋_GB2312"/>
          <w:color w:val="000000" w:themeColor="text1"/>
          <w:spacing w:val="-6"/>
          <w:sz w:val="32"/>
          <w:szCs w:val="32"/>
        </w:rPr>
        <w:t>对附属单位补助支出</w:t>
      </w:r>
      <w:bookmarkEnd w:id="21"/>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p>
    <w:p>
      <w:pPr>
        <w:spacing w:line="540" w:lineRule="exact"/>
        <w:ind w:firstLine="640" w:firstLineChars="200"/>
        <w:rPr>
          <w:rFonts w:ascii="仿宋_GB2312" w:eastAsia="仿宋_GB2312"/>
          <w:sz w:val="32"/>
          <w:szCs w:val="32"/>
        </w:rPr>
      </w:pPr>
      <w:bookmarkStart w:id="22" w:name="OLE_LINK56"/>
      <w:r>
        <w:rPr>
          <w:rFonts w:hint="eastAsia" w:ascii="仿宋_GB2312" w:eastAsia="仿宋_GB2312"/>
          <w:color w:val="000000" w:themeColor="text1"/>
          <w:sz w:val="32"/>
          <w:szCs w:val="32"/>
        </w:rPr>
        <w:t>与年初预算数相比情况：本年支出年初预算数941.94万元，</w:t>
      </w:r>
      <w:r>
        <w:rPr>
          <w:rFonts w:hint="eastAsia" w:ascii="仿宋_GB2312" w:eastAsia="仿宋_GB2312"/>
          <w:sz w:val="32"/>
          <w:szCs w:val="32"/>
        </w:rPr>
        <w:t>决算数4,709.57万元</w:t>
      </w:r>
      <w:r>
        <w:rPr>
          <w:rFonts w:ascii="仿宋_GB2312" w:eastAsia="仿宋_GB2312"/>
          <w:sz w:val="32"/>
          <w:szCs w:val="32"/>
        </w:rPr>
        <w:t>，预决算差异率399.99%，差异主要原因是由于惠农补贴项目增多，补贴支出增加。</w:t>
      </w:r>
    </w:p>
    <w:bookmarkEnd w:id="22"/>
    <w:p>
      <w:pPr>
        <w:spacing w:line="540" w:lineRule="exact"/>
        <w:ind w:firstLine="640" w:firstLineChars="200"/>
        <w:rPr>
          <w:rFonts w:ascii="黑体" w:hAnsi="黑体" w:eastAsia="黑体"/>
          <w:sz w:val="32"/>
          <w:szCs w:val="32"/>
        </w:rPr>
      </w:pPr>
      <w:r>
        <w:rPr>
          <w:rFonts w:hint="eastAsia" w:ascii="黑体" w:hAnsi="黑体" w:eastAsia="黑体"/>
          <w:sz w:val="32"/>
          <w:szCs w:val="32"/>
        </w:rPr>
        <w:t>二、部门财政拨款收支情况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（一）财政拨款收支总体情况说明</w:t>
      </w:r>
    </w:p>
    <w:p>
      <w:pPr>
        <w:spacing w:line="540" w:lineRule="exact"/>
        <w:ind w:firstLine="640" w:firstLineChars="200"/>
        <w:rPr>
          <w:rFonts w:ascii="仿宋_GB2312" w:eastAsia="仿宋_GB2312"/>
          <w:color w:val="000000" w:themeColor="text1"/>
          <w:sz w:val="32"/>
          <w:szCs w:val="32"/>
        </w:rPr>
      </w:pPr>
      <w:bookmarkStart w:id="23" w:name="OLE_LINK58"/>
      <w:bookmarkStart w:id="24" w:name="OLE_LINK57"/>
      <w:r>
        <w:rPr>
          <w:rFonts w:hint="eastAsia" w:ascii="仿宋_GB2312" w:eastAsia="仿宋_GB2312"/>
          <w:color w:val="000000" w:themeColor="text1"/>
          <w:sz w:val="32"/>
          <w:szCs w:val="32"/>
        </w:rPr>
        <w:t>2018年度</w:t>
      </w:r>
      <w:bookmarkStart w:id="25" w:name="OLE_LINK13"/>
      <w:r>
        <w:rPr>
          <w:rFonts w:hint="eastAsia" w:ascii="仿宋_GB2312" w:eastAsia="仿宋_GB2312"/>
          <w:color w:val="000000" w:themeColor="text1"/>
          <w:sz w:val="32"/>
          <w:szCs w:val="32"/>
        </w:rPr>
        <w:t>财政拨款收入</w:t>
      </w:r>
      <w:bookmarkEnd w:id="25"/>
      <w:r>
        <w:rPr>
          <w:rFonts w:hint="eastAsia" w:ascii="仿宋_GB2312" w:eastAsia="仿宋_GB2312"/>
          <w:sz w:val="32"/>
          <w:szCs w:val="32"/>
        </w:rPr>
        <w:t>3,179.21</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，与上年相比，减少331.89万元，降低9.45%，增减变化主要原因是：由于惠农补贴项目增多，补贴收入增加。</w:t>
      </w:r>
      <w:bookmarkEnd w:id="23"/>
      <w:bookmarkEnd w:id="24"/>
      <w:bookmarkStart w:id="26" w:name="OLE_LINK14"/>
      <w:bookmarkStart w:id="27" w:name="OLE_LINK59"/>
      <w:bookmarkStart w:id="28" w:name="OLE_LINK60"/>
      <w:r>
        <w:rPr>
          <w:rFonts w:hint="eastAsia" w:ascii="仿宋_GB2312" w:eastAsia="仿宋_GB2312"/>
          <w:color w:val="000000" w:themeColor="text1"/>
          <w:sz w:val="32"/>
          <w:szCs w:val="32"/>
        </w:rPr>
        <w:t>财政拨款支出</w:t>
      </w:r>
      <w:bookmarkEnd w:id="26"/>
      <w:r>
        <w:rPr>
          <w:rFonts w:hint="eastAsia" w:ascii="仿宋_GB2312" w:eastAsia="仿宋_GB2312"/>
          <w:sz w:val="32"/>
          <w:szCs w:val="32"/>
        </w:rPr>
        <w:t>3,179.21</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，与上年相比，减少331.89万元，降低9.45%，增减变化主要原因是：</w:t>
      </w:r>
      <w:r>
        <w:rPr>
          <w:rFonts w:ascii="仿宋_GB2312" w:eastAsia="仿宋_GB2312"/>
          <w:sz w:val="32"/>
          <w:szCs w:val="32"/>
        </w:rPr>
        <w:t>由于惠农补贴项目增多，补贴支出增加。</w:t>
      </w:r>
      <w:bookmarkEnd w:id="27"/>
      <w:bookmarkEnd w:id="28"/>
      <w:bookmarkStart w:id="29" w:name="OLE_LINK61"/>
      <w:r>
        <w:rPr>
          <w:rFonts w:hint="eastAsia" w:ascii="仿宋_GB2312" w:eastAsia="仿宋_GB2312"/>
          <w:color w:val="000000" w:themeColor="text1"/>
          <w:sz w:val="32"/>
          <w:szCs w:val="32"/>
        </w:rPr>
        <w:t>其中：</w:t>
      </w:r>
      <w:bookmarkStart w:id="30" w:name="OLE_LINK15"/>
      <w:r>
        <w:rPr>
          <w:rFonts w:hint="eastAsia" w:ascii="仿宋_GB2312" w:eastAsia="仿宋_GB2312"/>
          <w:color w:val="000000" w:themeColor="text1"/>
          <w:sz w:val="32"/>
          <w:szCs w:val="32"/>
        </w:rPr>
        <w:t>基本支出</w:t>
      </w:r>
      <w:bookmarkEnd w:id="30"/>
      <w:r>
        <w:rPr>
          <w:rFonts w:hint="eastAsia" w:ascii="仿宋_GB2312" w:eastAsia="仿宋_GB2312"/>
          <w:sz w:val="32"/>
          <w:szCs w:val="32"/>
        </w:rPr>
        <w:t>1,285.23</w:t>
      </w:r>
      <w:r>
        <w:rPr>
          <w:rFonts w:hint="eastAsia" w:ascii="仿宋_GB2312" w:eastAsia="仿宋_GB2312"/>
          <w:color w:val="000000" w:themeColor="text1"/>
          <w:sz w:val="32"/>
          <w:szCs w:val="32"/>
        </w:rPr>
        <w:t>万元，项目支出</w:t>
      </w:r>
      <w:r>
        <w:rPr>
          <w:rFonts w:hint="eastAsia" w:ascii="仿宋_GB2312" w:eastAsia="仿宋_GB2312"/>
          <w:sz w:val="32"/>
          <w:szCs w:val="32"/>
        </w:rPr>
        <w:t>1,893.97</w:t>
      </w:r>
      <w:r>
        <w:rPr>
          <w:rFonts w:hint="eastAsia" w:ascii="仿宋_GB2312" w:eastAsia="仿宋_GB2312"/>
          <w:color w:val="000000" w:themeColor="text1"/>
          <w:sz w:val="32"/>
          <w:szCs w:val="32"/>
        </w:rPr>
        <w:t>万元。</w:t>
      </w:r>
      <w:bookmarkStart w:id="31" w:name="OLE_LINK16"/>
      <w:r>
        <w:rPr>
          <w:rFonts w:hint="eastAsia" w:ascii="仿宋_GB2312" w:eastAsia="仿宋_GB2312"/>
          <w:color w:val="000000" w:themeColor="text1"/>
          <w:sz w:val="32"/>
          <w:szCs w:val="32"/>
        </w:rPr>
        <w:t>财政拨款结转结余</w:t>
      </w:r>
      <w:bookmarkEnd w:id="31"/>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，与上年相比，增加0元，增长0%，增减变化主要原因是：本年项目执行到位，年末无结余结转。</w:t>
      </w:r>
      <w:bookmarkEnd w:id="29"/>
    </w:p>
    <w:p>
      <w:pPr>
        <w:spacing w:line="540" w:lineRule="exact"/>
        <w:ind w:firstLine="640" w:firstLineChars="200"/>
        <w:rPr>
          <w:rFonts w:ascii="仿宋_GB2312" w:eastAsia="仿宋_GB2312"/>
          <w:color w:val="000000" w:themeColor="text1"/>
          <w:sz w:val="32"/>
          <w:szCs w:val="32"/>
        </w:rPr>
      </w:pPr>
      <w:bookmarkStart w:id="32" w:name="OLE_LINK62"/>
      <w:r>
        <w:rPr>
          <w:rFonts w:hint="eastAsia" w:ascii="仿宋_GB2312" w:eastAsia="仿宋_GB2312"/>
          <w:color w:val="000000" w:themeColor="text1"/>
          <w:sz w:val="32"/>
          <w:szCs w:val="32"/>
        </w:rPr>
        <w:t>与年初预算数相比情况：财政拨款收入年初预算数</w:t>
      </w:r>
      <w:r>
        <w:rPr>
          <w:rFonts w:ascii="仿宋_GB2312" w:eastAsia="仿宋_GB2312"/>
          <w:color w:val="000000" w:themeColor="text1"/>
          <w:sz w:val="32"/>
          <w:szCs w:val="32"/>
        </w:rPr>
        <w:t>941.94</w:t>
      </w:r>
      <w:r>
        <w:rPr>
          <w:rFonts w:hint="eastAsia" w:ascii="仿宋_GB2312" w:eastAsia="仿宋_GB2312"/>
          <w:color w:val="000000" w:themeColor="text1"/>
          <w:sz w:val="32"/>
          <w:szCs w:val="32"/>
        </w:rPr>
        <w:t>万元，决算数</w:t>
      </w:r>
      <w:r>
        <w:rPr>
          <w:rFonts w:hint="eastAsia" w:ascii="仿宋_GB2312" w:eastAsia="仿宋_GB2312"/>
          <w:sz w:val="32"/>
          <w:szCs w:val="32"/>
        </w:rPr>
        <w:t>3,179.21</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，预决算差异率237.52%，差异主要原因是由于惠农补贴项目增多，补贴收入增加。</w:t>
      </w:r>
      <w:bookmarkEnd w:id="32"/>
      <w:bookmarkStart w:id="33" w:name="OLE_LINK63"/>
      <w:r>
        <w:rPr>
          <w:rFonts w:hint="eastAsia" w:ascii="仿宋_GB2312" w:eastAsia="仿宋_GB2312"/>
          <w:color w:val="000000" w:themeColor="text1"/>
          <w:sz w:val="32"/>
          <w:szCs w:val="32"/>
        </w:rPr>
        <w:t>财政拨款支出年初预算数</w:t>
      </w:r>
      <w:r>
        <w:rPr>
          <w:rFonts w:ascii="仿宋_GB2312" w:eastAsia="仿宋_GB2312"/>
          <w:color w:val="000000" w:themeColor="text1"/>
          <w:sz w:val="32"/>
          <w:szCs w:val="32"/>
        </w:rPr>
        <w:t>941.94</w:t>
      </w:r>
      <w:r>
        <w:rPr>
          <w:rFonts w:hint="eastAsia" w:ascii="仿宋_GB2312" w:eastAsia="仿宋_GB2312"/>
          <w:color w:val="000000" w:themeColor="text1"/>
          <w:sz w:val="32"/>
          <w:szCs w:val="32"/>
        </w:rPr>
        <w:t>万元，决算数</w:t>
      </w:r>
      <w:r>
        <w:rPr>
          <w:rFonts w:hint="eastAsia" w:ascii="仿宋_GB2312" w:eastAsia="仿宋_GB2312"/>
          <w:sz w:val="32"/>
          <w:szCs w:val="32"/>
        </w:rPr>
        <w:t>3,179.21</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，预决算差异率237.52%，差异主要原因是由于惠农补贴项目增多，补贴支出增加。</w:t>
      </w:r>
      <w:bookmarkEnd w:id="33"/>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（二）一般公共预算收支决算情况说明</w:t>
      </w:r>
    </w:p>
    <w:p>
      <w:pPr>
        <w:spacing w:line="540" w:lineRule="exact"/>
        <w:ind w:firstLine="640" w:firstLineChars="200"/>
        <w:rPr>
          <w:rFonts w:ascii="仿宋_GB2312" w:eastAsia="仿宋_GB2312"/>
          <w:color w:val="000000" w:themeColor="text1"/>
          <w:sz w:val="32"/>
          <w:szCs w:val="32"/>
        </w:rPr>
      </w:pPr>
      <w:bookmarkStart w:id="34" w:name="OLE_LINK64"/>
      <w:r>
        <w:rPr>
          <w:rFonts w:hint="eastAsia" w:ascii="仿宋_GB2312" w:eastAsia="仿宋_GB2312"/>
          <w:color w:val="000000" w:themeColor="text1"/>
          <w:sz w:val="32"/>
          <w:szCs w:val="32"/>
        </w:rPr>
        <w:t>2018年度</w:t>
      </w:r>
      <w:bookmarkStart w:id="35" w:name="OLE_LINK17"/>
      <w:r>
        <w:rPr>
          <w:rFonts w:hint="eastAsia" w:ascii="仿宋_GB2312" w:eastAsia="仿宋_GB2312"/>
          <w:color w:val="000000" w:themeColor="text1"/>
          <w:sz w:val="32"/>
          <w:szCs w:val="32"/>
        </w:rPr>
        <w:t>一般公共预算财政拨款收入</w:t>
      </w:r>
      <w:bookmarkEnd w:id="35"/>
      <w:r>
        <w:rPr>
          <w:rFonts w:ascii="仿宋_GB2312" w:eastAsia="仿宋_GB2312"/>
          <w:color w:val="000000" w:themeColor="text1"/>
          <w:sz w:val="32"/>
          <w:szCs w:val="32"/>
        </w:rPr>
        <w:t>3,179.21</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，与上年相比，减少331.89万元，</w:t>
      </w:r>
      <w:r>
        <w:rPr>
          <w:rFonts w:hint="eastAsia" w:ascii="仿宋_GB2312" w:eastAsia="仿宋_GB2312"/>
          <w:color w:val="000000" w:themeColor="text1"/>
          <w:sz w:val="32"/>
          <w:szCs w:val="32"/>
        </w:rPr>
        <w:t>降低</w:t>
      </w:r>
      <w:r>
        <w:rPr>
          <w:rFonts w:ascii="仿宋_GB2312" w:eastAsia="仿宋_GB2312"/>
          <w:color w:val="000000" w:themeColor="text1"/>
          <w:sz w:val="32"/>
          <w:szCs w:val="32"/>
        </w:rPr>
        <w:t>9.45%，</w:t>
      </w:r>
      <w:r>
        <w:rPr>
          <w:rFonts w:hint="eastAsia" w:ascii="仿宋_GB2312" w:eastAsia="仿宋_GB2312"/>
          <w:sz w:val="32"/>
          <w:szCs w:val="32"/>
        </w:rPr>
        <w:t>增减变化主要原因是</w:t>
      </w:r>
      <w:r>
        <w:rPr>
          <w:rFonts w:ascii="仿宋_GB2312" w:eastAsia="仿宋_GB2312"/>
          <w:color w:val="000000" w:themeColor="text1"/>
          <w:sz w:val="32"/>
          <w:szCs w:val="32"/>
        </w:rPr>
        <w:t>：由于惠农补贴项目增多，补贴收入增加。</w:t>
      </w:r>
      <w:bookmarkEnd w:id="34"/>
      <w:bookmarkStart w:id="36" w:name="OLE_LINK18"/>
      <w:bookmarkStart w:id="37" w:name="OLE_LINK65"/>
      <w:r>
        <w:rPr>
          <w:rFonts w:hint="eastAsia" w:ascii="仿宋_GB2312" w:eastAsia="仿宋_GB2312"/>
          <w:color w:val="000000" w:themeColor="text1"/>
          <w:sz w:val="32"/>
          <w:szCs w:val="32"/>
        </w:rPr>
        <w:t>一般公共预算财政拨款支出</w:t>
      </w:r>
      <w:r>
        <w:rPr>
          <w:rFonts w:hint="eastAsia" w:ascii="仿宋_GB2312" w:eastAsia="仿宋_GB2312"/>
          <w:sz w:val="32"/>
          <w:szCs w:val="32"/>
        </w:rPr>
        <w:t>3,179.21</w:t>
      </w:r>
      <w:r>
        <w:rPr>
          <w:rFonts w:hint="eastAsia" w:ascii="仿宋_GB2312" w:eastAsia="仿宋_GB2312"/>
          <w:color w:val="000000" w:themeColor="text1"/>
          <w:sz w:val="32"/>
          <w:szCs w:val="32"/>
        </w:rPr>
        <w:t>万元</w:t>
      </w:r>
      <w:bookmarkEnd w:id="36"/>
      <w:r>
        <w:rPr>
          <w:rFonts w:hint="eastAsia" w:ascii="仿宋_GB2312" w:eastAsia="仿宋_GB2312"/>
          <w:sz w:val="32"/>
          <w:szCs w:val="32"/>
        </w:rPr>
        <w:t>，与上年相比，减少331.89万元，降低9.45%，增减变化主要原因是：由于惠农补贴项目增多，补贴支出增加。</w:t>
      </w:r>
      <w:bookmarkEnd w:id="37"/>
      <w:r>
        <w:rPr>
          <w:rFonts w:hint="eastAsia" w:ascii="仿宋_GB2312" w:eastAsia="仿宋_GB2312"/>
          <w:color w:val="000000" w:themeColor="text1"/>
          <w:sz w:val="32"/>
          <w:szCs w:val="32"/>
        </w:rPr>
        <w:t>其中：</w:t>
      </w:r>
      <w:bookmarkStart w:id="38" w:name="OLE_LINK19"/>
      <w:r>
        <w:rPr>
          <w:rFonts w:hint="eastAsia" w:ascii="仿宋_GB2312" w:eastAsia="仿宋_GB2312"/>
          <w:color w:val="000000" w:themeColor="text1"/>
          <w:sz w:val="32"/>
          <w:szCs w:val="32"/>
        </w:rPr>
        <w:t>按功能分类科目（按类级科目公开）</w:t>
      </w:r>
      <w:bookmarkEnd w:id="38"/>
      <w:r>
        <w:rPr>
          <w:rFonts w:hint="eastAsia" w:ascii="仿宋_GB2312" w:eastAsia="仿宋_GB2312"/>
          <w:color w:val="000000" w:themeColor="text1"/>
          <w:sz w:val="32"/>
          <w:szCs w:val="32"/>
        </w:rPr>
        <w:t>，</w:t>
      </w:r>
      <w:r>
        <w:rPr>
          <w:rFonts w:hint="eastAsia" w:ascii="仿宋_GB2312" w:eastAsia="仿宋_GB2312"/>
          <w:sz w:val="32"/>
          <w:szCs w:val="32"/>
        </w:rPr>
        <w:t>国土海洋气象等支出10.08万元,住房保障支出474.38万元,一般公共服务支出1,157.3万元,农林水支出1,282.45万元,公共安全支出120.92万元,文化体育与传媒支出29.33万元,其他支出2.1万元,社会保障和就业支出102.65万元。</w:t>
      </w:r>
      <w:bookmarkStart w:id="39" w:name="OLE_LINK20"/>
      <w:bookmarkStart w:id="40" w:name="OLE_LINK21"/>
      <w:r>
        <w:rPr>
          <w:rFonts w:hint="eastAsia" w:ascii="仿宋_GB2312" w:eastAsia="仿宋_GB2312"/>
          <w:color w:val="000000" w:themeColor="text1"/>
          <w:sz w:val="32"/>
          <w:szCs w:val="32"/>
        </w:rPr>
        <w:t>按经济分类科目</w:t>
      </w:r>
      <w:bookmarkEnd w:id="39"/>
      <w:r>
        <w:rPr>
          <w:rFonts w:hint="eastAsia" w:ascii="仿宋_GB2312" w:eastAsia="仿宋_GB2312"/>
          <w:color w:val="000000" w:themeColor="text1"/>
          <w:sz w:val="32"/>
          <w:szCs w:val="32"/>
        </w:rPr>
        <w:t>（按类级科目公开）</w:t>
      </w:r>
      <w:bookmarkEnd w:id="40"/>
      <w:r>
        <w:rPr>
          <w:rFonts w:hint="eastAsia" w:ascii="仿宋_GB2312" w:eastAsia="仿宋_GB2312"/>
          <w:color w:val="000000" w:themeColor="text1"/>
          <w:sz w:val="32"/>
          <w:szCs w:val="32"/>
        </w:rPr>
        <w:t>，</w:t>
      </w:r>
      <w:r>
        <w:rPr>
          <w:rFonts w:hint="eastAsia" w:ascii="仿宋_GB2312" w:eastAsia="仿宋_GB2312"/>
          <w:sz w:val="32"/>
          <w:szCs w:val="32"/>
        </w:rPr>
        <w:t>工资福利支出962.35万元,商品和服务支出105万元,对个人和家庭的补助1,527.53万元,资本性支出584.33万元。</w:t>
      </w:r>
    </w:p>
    <w:p>
      <w:pPr>
        <w:spacing w:line="540" w:lineRule="exact"/>
        <w:ind w:firstLine="640" w:firstLineChars="200"/>
        <w:rPr>
          <w:rFonts w:ascii="仿宋_GB2312" w:eastAsia="仿宋_GB2312"/>
          <w:color w:val="000000" w:themeColor="text1"/>
          <w:sz w:val="32"/>
          <w:szCs w:val="32"/>
        </w:rPr>
      </w:pPr>
      <w:bookmarkStart w:id="41" w:name="OLE_LINK66"/>
      <w:bookmarkStart w:id="42" w:name="OLE_LINK67"/>
      <w:r>
        <w:rPr>
          <w:rFonts w:hint="eastAsia" w:ascii="仿宋_GB2312" w:eastAsia="仿宋_GB2312"/>
          <w:color w:val="000000" w:themeColor="text1"/>
          <w:sz w:val="32"/>
          <w:szCs w:val="32"/>
        </w:rPr>
        <w:t>与年初预算数相比情况：一般公共预算财政拨款收入年初预算数</w:t>
      </w:r>
      <w:r>
        <w:rPr>
          <w:rFonts w:ascii="仿宋_GB2312" w:eastAsia="仿宋_GB2312"/>
          <w:color w:val="000000" w:themeColor="text1"/>
          <w:sz w:val="32"/>
          <w:szCs w:val="32"/>
        </w:rPr>
        <w:t>941.94</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3,179.21</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，预决算差异率237.52%，差异主要原因是由于惠农补贴项目增多，补贴收入增加。</w:t>
      </w:r>
      <w:bookmarkEnd w:id="41"/>
      <w:bookmarkEnd w:id="42"/>
      <w:bookmarkStart w:id="43" w:name="OLE_LINK68"/>
      <w:r>
        <w:rPr>
          <w:rFonts w:hint="eastAsia" w:ascii="仿宋_GB2312" w:eastAsia="仿宋_GB2312"/>
          <w:color w:val="000000" w:themeColor="text1"/>
          <w:sz w:val="32"/>
          <w:szCs w:val="32"/>
        </w:rPr>
        <w:t>一般公共预算财政拨款支出年初预算数</w:t>
      </w:r>
      <w:r>
        <w:rPr>
          <w:rFonts w:ascii="仿宋_GB2312" w:eastAsia="仿宋_GB2312"/>
          <w:color w:val="000000" w:themeColor="text1"/>
          <w:sz w:val="32"/>
          <w:szCs w:val="32"/>
        </w:rPr>
        <w:t>941.94</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3,179.21</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，预决算差异率237.52%，差异主要原因是由于惠农补贴项目增多，补贴支出增加。</w:t>
      </w:r>
      <w:bookmarkEnd w:id="43"/>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（三）政府性基金预算收支决算情况说明</w:t>
      </w:r>
    </w:p>
    <w:p>
      <w:pPr>
        <w:spacing w:line="540" w:lineRule="exact"/>
        <w:ind w:firstLine="640" w:firstLineChars="200"/>
        <w:rPr>
          <w:rFonts w:ascii="仿宋_GB2312" w:eastAsia="仿宋_GB2312"/>
          <w:color w:val="000000" w:themeColor="text1"/>
          <w:sz w:val="32"/>
          <w:szCs w:val="32"/>
        </w:rPr>
      </w:pPr>
      <w:bookmarkStart w:id="44" w:name="OLE_LINK69"/>
      <w:r>
        <w:rPr>
          <w:rFonts w:hint="eastAsia" w:ascii="仿宋_GB2312" w:eastAsia="仿宋_GB2312"/>
          <w:color w:val="000000" w:themeColor="text1"/>
          <w:sz w:val="32"/>
          <w:szCs w:val="32"/>
        </w:rPr>
        <w:t>2018年度</w:t>
      </w:r>
      <w:bookmarkStart w:id="45" w:name="OLE_LINK22"/>
      <w:r>
        <w:rPr>
          <w:rFonts w:hint="eastAsia" w:ascii="仿宋_GB2312" w:eastAsia="仿宋_GB2312"/>
          <w:color w:val="000000" w:themeColor="text1"/>
          <w:sz w:val="32"/>
          <w:szCs w:val="32"/>
        </w:rPr>
        <w:t>政府性基金预算财政拨款收入</w:t>
      </w:r>
      <w:bookmarkEnd w:id="45"/>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，与上年相比，增加0元，增长0%，增减变化的主要原因是：无政府性基金收支。</w:t>
      </w:r>
      <w:bookmarkEnd w:id="44"/>
      <w:bookmarkStart w:id="46" w:name="OLE_LINK23"/>
      <w:bookmarkStart w:id="47" w:name="OLE_LINK70"/>
      <w:r>
        <w:rPr>
          <w:rFonts w:hint="eastAsia" w:ascii="仿宋_GB2312" w:eastAsia="仿宋_GB2312"/>
          <w:color w:val="000000" w:themeColor="text1"/>
          <w:sz w:val="32"/>
          <w:szCs w:val="32"/>
        </w:rPr>
        <w:t>政府性基金预算支出</w:t>
      </w:r>
      <w:bookmarkEnd w:id="46"/>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，与上年相比，增加0元，增长0%，增减变化的主要原因是：无政府性基金收支。</w:t>
      </w:r>
      <w:bookmarkEnd w:id="47"/>
      <w:r>
        <w:rPr>
          <w:rFonts w:hint="eastAsia" w:ascii="仿宋_GB2312" w:eastAsia="仿宋_GB2312"/>
          <w:color w:val="000000" w:themeColor="text1"/>
          <w:sz w:val="32"/>
          <w:szCs w:val="32"/>
        </w:rPr>
        <w:t>其中：</w:t>
      </w:r>
      <w:bookmarkStart w:id="48" w:name="OLE_LINK24"/>
      <w:r>
        <w:rPr>
          <w:rFonts w:hint="eastAsia" w:ascii="仿宋_GB2312" w:eastAsia="仿宋_GB2312"/>
          <w:color w:val="000000" w:themeColor="text1"/>
          <w:sz w:val="32"/>
          <w:szCs w:val="32"/>
        </w:rPr>
        <w:t>按功能分类科目（按类级科目公开）</w:t>
      </w:r>
      <w:bookmarkEnd w:id="48"/>
      <w:r>
        <w:rPr>
          <w:rFonts w:hint="eastAsia" w:ascii="仿宋_GB2312" w:eastAsia="仿宋_GB2312"/>
          <w:color w:val="000000" w:themeColor="text1"/>
          <w:sz w:val="32"/>
          <w:szCs w:val="32"/>
        </w:rPr>
        <w:t>，</w:t>
      </w:r>
      <w:r>
        <w:rPr>
          <w:rFonts w:hint="eastAsia" w:ascii="仿宋_GB2312" w:eastAsia="仿宋_GB2312"/>
          <w:sz w:val="32"/>
          <w:szCs w:val="32"/>
        </w:rPr>
        <w:t>无政府性基金收支</w:t>
      </w:r>
      <w:r>
        <w:rPr>
          <w:rFonts w:hint="eastAsia" w:ascii="仿宋_GB2312" w:eastAsia="仿宋_GB2312"/>
          <w:color w:val="000000" w:themeColor="text1"/>
          <w:sz w:val="32"/>
          <w:szCs w:val="32"/>
        </w:rPr>
        <w:t>。按经济分类科目（按类级科目公开），</w:t>
      </w:r>
      <w:r>
        <w:rPr>
          <w:rFonts w:hint="eastAsia" w:ascii="仿宋_GB2312" w:eastAsia="仿宋_GB2312"/>
          <w:sz w:val="32"/>
          <w:szCs w:val="32"/>
        </w:rPr>
        <w:t>无政府性基金收支</w:t>
      </w:r>
      <w:r>
        <w:rPr>
          <w:rFonts w:hint="eastAsia" w:ascii="仿宋_GB2312" w:eastAsia="仿宋_GB2312"/>
          <w:color w:val="000000" w:themeColor="text1"/>
          <w:sz w:val="32"/>
          <w:szCs w:val="32"/>
        </w:rPr>
        <w:t>。</w:t>
      </w:r>
    </w:p>
    <w:p>
      <w:pPr>
        <w:spacing w:line="540" w:lineRule="exact"/>
        <w:ind w:firstLine="640" w:firstLineChars="200"/>
        <w:rPr>
          <w:rFonts w:ascii="仿宋_GB2312" w:eastAsia="仿宋_GB2312"/>
          <w:color w:val="000000" w:themeColor="text1"/>
          <w:sz w:val="32"/>
          <w:szCs w:val="32"/>
        </w:rPr>
      </w:pPr>
      <w:bookmarkStart w:id="49" w:name="OLE_LINK71"/>
      <w:bookmarkStart w:id="50" w:name="OLE_LINK72"/>
      <w:r>
        <w:rPr>
          <w:rFonts w:hint="eastAsia" w:ascii="仿宋_GB2312" w:eastAsia="仿宋_GB2312"/>
          <w:color w:val="000000" w:themeColor="text1"/>
          <w:sz w:val="32"/>
          <w:szCs w:val="32"/>
        </w:rPr>
        <w:t>与年初预算数相比情况：政府性基金预算财政拨款收入年初预算数0万元，决算数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，预决算差异率0%，差异主要原因是本单位无政府性基金预算安排。</w:t>
      </w:r>
      <w:bookmarkEnd w:id="49"/>
      <w:bookmarkEnd w:id="50"/>
      <w:bookmarkStart w:id="51" w:name="OLE_LINK73"/>
      <w:r>
        <w:rPr>
          <w:rFonts w:hint="eastAsia" w:ascii="仿宋_GB2312" w:eastAsia="仿宋_GB2312"/>
          <w:color w:val="000000" w:themeColor="text1"/>
          <w:sz w:val="32"/>
          <w:szCs w:val="32"/>
        </w:rPr>
        <w:t>政府性基金预算财政拨款支出年初预算数0万元，决算数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，预决算差异率0%，差异主要原因是本单位无政府性基金预算安排。</w:t>
      </w:r>
      <w:bookmarkEnd w:id="51"/>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三、部门结转结余情况</w:t>
      </w:r>
    </w:p>
    <w:p>
      <w:pPr>
        <w:spacing w:line="540" w:lineRule="exact"/>
        <w:ind w:firstLine="640" w:firstLineChars="200"/>
        <w:rPr>
          <w:rFonts w:ascii="仿宋_GB2312" w:eastAsia="仿宋_GB2312"/>
          <w:color w:val="000000" w:themeColor="text1"/>
          <w:sz w:val="32"/>
          <w:szCs w:val="32"/>
        </w:rPr>
      </w:pPr>
      <w:bookmarkStart w:id="52" w:name="OLE_LINK25"/>
      <w:bookmarkStart w:id="53" w:name="OLE_LINK26"/>
      <w:r>
        <w:rPr>
          <w:rFonts w:hint="eastAsia" w:ascii="仿宋_GB2312" w:eastAsia="仿宋_GB2312"/>
          <w:color w:val="000000" w:themeColor="text1"/>
          <w:sz w:val="32"/>
          <w:szCs w:val="32"/>
        </w:rPr>
        <w:t>年末结转结余</w:t>
      </w:r>
      <w:bookmarkEnd w:id="52"/>
      <w:bookmarkEnd w:id="53"/>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。与上年相比，减少1,319万元，降低100%</w:t>
      </w:r>
      <w:r>
        <w:rPr>
          <w:rFonts w:hint="eastAsia" w:ascii="仿宋_GB2312" w:eastAsia="仿宋_GB2312"/>
          <w:color w:val="000000" w:themeColor="text1"/>
          <w:sz w:val="32"/>
          <w:szCs w:val="32"/>
        </w:rPr>
        <w:t>。</w:t>
      </w:r>
    </w:p>
    <w:p>
      <w:pPr>
        <w:spacing w:line="540" w:lineRule="exact"/>
        <w:ind w:firstLine="640" w:firstLineChars="200"/>
        <w:rPr>
          <w:rFonts w:ascii="仿宋_GB2312" w:eastAsia="仿宋_GB2312"/>
          <w:sz w:val="32"/>
          <w:szCs w:val="32"/>
        </w:rPr>
      </w:pPr>
      <w:r>
        <w:rPr>
          <w:rFonts w:hint="eastAsia" w:ascii="仿宋_GB2312" w:eastAsia="仿宋_GB2312"/>
          <w:color w:val="000000" w:themeColor="text1"/>
          <w:sz w:val="32"/>
          <w:szCs w:val="32"/>
        </w:rPr>
        <w:t>其中</w:t>
      </w:r>
      <w:bookmarkStart w:id="54" w:name="OLE_LINK28"/>
      <w:bookmarkStart w:id="55" w:name="OLE_LINK27"/>
      <w:r>
        <w:rPr>
          <w:rFonts w:hint="eastAsia" w:ascii="仿宋_GB2312" w:eastAsia="仿宋_GB2312"/>
          <w:color w:val="000000" w:themeColor="text1"/>
          <w:sz w:val="32"/>
          <w:szCs w:val="32"/>
        </w:rPr>
        <w:t>财政拨款结转结余</w:t>
      </w:r>
      <w:bookmarkEnd w:id="54"/>
      <w:bookmarkEnd w:id="55"/>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。与上年相比，增加0元。</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四、一般公共预算“三公”经费支出情况</w:t>
      </w:r>
    </w:p>
    <w:p>
      <w:pPr>
        <w:spacing w:line="540" w:lineRule="exact"/>
        <w:ind w:firstLine="640" w:firstLineChars="200"/>
        <w:rPr>
          <w:rFonts w:ascii="仿宋_GB2312" w:eastAsia="仿宋_GB2312"/>
          <w:color w:val="000000" w:themeColor="text1"/>
          <w:sz w:val="32"/>
          <w:szCs w:val="32"/>
        </w:rPr>
      </w:pPr>
      <w:bookmarkStart w:id="56" w:name="OLE_LINK74"/>
      <w:r>
        <w:rPr>
          <w:rFonts w:hint="eastAsia" w:ascii="仿宋_GB2312" w:eastAsia="仿宋_GB2312"/>
          <w:color w:val="000000" w:themeColor="text1"/>
          <w:sz w:val="32"/>
          <w:szCs w:val="32"/>
        </w:rPr>
        <w:t>2018年度</w:t>
      </w:r>
      <w:bookmarkStart w:id="57" w:name="OLE_LINK29"/>
      <w:r>
        <w:rPr>
          <w:rFonts w:hint="eastAsia" w:ascii="仿宋_GB2312" w:eastAsia="仿宋_GB2312"/>
          <w:color w:val="000000" w:themeColor="text1"/>
          <w:sz w:val="32"/>
          <w:szCs w:val="32"/>
        </w:rPr>
        <w:t>一般公共预算“三公”经费支出决算</w:t>
      </w:r>
      <w:bookmarkEnd w:id="57"/>
      <w:r>
        <w:rPr>
          <w:rFonts w:hint="eastAsia" w:ascii="仿宋_GB2312" w:eastAsia="仿宋_GB2312"/>
          <w:sz w:val="32"/>
          <w:szCs w:val="32"/>
        </w:rPr>
        <w:t>3.5</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，与上年相比，减少5.6万元，降低61.54%，减少的主要原因是：严格执行“三公”经费只减不增的要求。</w:t>
      </w:r>
      <w:bookmarkEnd w:id="56"/>
      <w:bookmarkStart w:id="58" w:name="OLE_LINK75"/>
      <w:r>
        <w:rPr>
          <w:rFonts w:hint="eastAsia" w:ascii="仿宋_GB2312" w:eastAsia="仿宋_GB2312"/>
          <w:color w:val="000000" w:themeColor="text1"/>
          <w:sz w:val="32"/>
          <w:szCs w:val="32"/>
        </w:rPr>
        <w:t>其中，</w:t>
      </w:r>
      <w:bookmarkStart w:id="59" w:name="OLE_LINK30"/>
      <w:r>
        <w:rPr>
          <w:rFonts w:hint="eastAsia" w:ascii="仿宋_GB2312" w:eastAsia="仿宋_GB2312"/>
          <w:color w:val="000000" w:themeColor="text1"/>
          <w:sz w:val="32"/>
          <w:szCs w:val="32"/>
        </w:rPr>
        <w:t>因公出国（境）费支出</w:t>
      </w:r>
      <w:bookmarkEnd w:id="59"/>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0%，与上年相比，增加0元，增长0%，主要原因是：本单位无此项预算安排；</w:t>
      </w:r>
      <w:bookmarkEnd w:id="58"/>
      <w:bookmarkStart w:id="60" w:name="OLE_LINK31"/>
      <w:bookmarkStart w:id="61" w:name="OLE_LINK76"/>
      <w:r>
        <w:rPr>
          <w:rFonts w:hint="eastAsia" w:ascii="仿宋_GB2312" w:eastAsia="仿宋_GB2312"/>
          <w:color w:val="000000" w:themeColor="text1"/>
          <w:sz w:val="32"/>
          <w:szCs w:val="32"/>
        </w:rPr>
        <w:t>公务用车购置及运行维护费支出</w:t>
      </w:r>
      <w:bookmarkEnd w:id="60"/>
      <w:r>
        <w:rPr>
          <w:rFonts w:hint="eastAsia" w:ascii="仿宋_GB2312" w:eastAsia="仿宋_GB2312"/>
          <w:sz w:val="32"/>
          <w:szCs w:val="32"/>
        </w:rPr>
        <w:t>3.5</w:t>
      </w:r>
      <w:r>
        <w:rPr>
          <w:rFonts w:hint="eastAsia" w:ascii="仿宋_GB2312" w:eastAsia="仿宋_GB2312"/>
          <w:color w:val="000000" w:themeColor="text1"/>
          <w:sz w:val="32"/>
          <w:szCs w:val="32"/>
        </w:rPr>
        <w:t>万元，占</w:t>
      </w:r>
      <w:r>
        <w:rPr>
          <w:rFonts w:hint="eastAsia" w:ascii="仿宋_GB2312" w:eastAsia="仿宋_GB2312"/>
          <w:sz w:val="32"/>
          <w:szCs w:val="32"/>
        </w:rPr>
        <w:t>100%，与上年相比，减少5.6万元，降低61.54%，减少的主要原因是：严格执行“三公”经费只减不增的要求；</w:t>
      </w:r>
      <w:bookmarkEnd w:id="61"/>
      <w:bookmarkStart w:id="62" w:name="OLE_LINK32"/>
      <w:bookmarkStart w:id="63" w:name="OLE_LINK78"/>
      <w:bookmarkStart w:id="64" w:name="OLE_LINK77"/>
      <w:r>
        <w:rPr>
          <w:rFonts w:hint="eastAsia" w:ascii="仿宋_GB2312" w:eastAsia="仿宋_GB2312"/>
          <w:color w:val="000000" w:themeColor="text1"/>
          <w:sz w:val="32"/>
          <w:szCs w:val="32"/>
        </w:rPr>
        <w:t>公务接待费支出</w:t>
      </w:r>
      <w:bookmarkEnd w:id="62"/>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0%，与上年相比，增加0元，增长0%，主要原因是：本单位无此项预算安</w:t>
      </w:r>
      <w:bookmarkEnd w:id="63"/>
      <w:bookmarkEnd w:id="64"/>
      <w:r>
        <w:rPr>
          <w:rFonts w:hint="eastAsia" w:ascii="仿宋_GB2312" w:eastAsia="仿宋_GB2312"/>
          <w:sz w:val="32"/>
          <w:szCs w:val="32"/>
        </w:rPr>
        <w:t>。</w:t>
      </w:r>
      <w:r>
        <w:rPr>
          <w:rFonts w:hint="eastAsia" w:ascii="仿宋_GB2312" w:eastAsia="仿宋_GB2312"/>
          <w:color w:val="000000" w:themeColor="text1"/>
          <w:sz w:val="32"/>
          <w:szCs w:val="32"/>
        </w:rPr>
        <w:t>具体情况如下：</w:t>
      </w:r>
    </w:p>
    <w:p>
      <w:pPr>
        <w:spacing w:line="540" w:lineRule="exact"/>
        <w:ind w:firstLine="640" w:firstLineChars="200"/>
        <w:rPr>
          <w:rFonts w:ascii="仿宋_GB2312" w:eastAsia="仿宋_GB2312"/>
          <w:color w:val="000000" w:themeColor="text1"/>
          <w:sz w:val="32"/>
          <w:szCs w:val="32"/>
        </w:rPr>
      </w:pPr>
      <w:bookmarkStart w:id="65" w:name="OLE_LINK79"/>
      <w:bookmarkStart w:id="66" w:name="OLE_LINK80"/>
      <w:r>
        <w:rPr>
          <w:rFonts w:hint="eastAsia" w:ascii="仿宋_GB2312" w:eastAsia="仿宋_GB2312"/>
          <w:color w:val="000000" w:themeColor="text1"/>
          <w:sz w:val="32"/>
          <w:szCs w:val="32"/>
        </w:rPr>
        <w:t>因公出国（境）费支出</w:t>
      </w:r>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新疆喀什地区英吉沙县色提力乡人民政府（本级）</w:t>
      </w:r>
      <w:r>
        <w:rPr>
          <w:rFonts w:hint="eastAsia" w:ascii="仿宋_GB2312" w:eastAsia="仿宋_GB2312"/>
          <w:color w:val="000000" w:themeColor="text1"/>
          <w:sz w:val="32"/>
          <w:szCs w:val="32"/>
        </w:rPr>
        <w:t>单位</w:t>
      </w:r>
      <w:bookmarkStart w:id="67" w:name="OLE_LINK33"/>
      <w:r>
        <w:rPr>
          <w:rFonts w:hint="eastAsia" w:ascii="仿宋_GB2312" w:eastAsia="仿宋_GB2312"/>
          <w:color w:val="000000" w:themeColor="text1"/>
          <w:sz w:val="32"/>
          <w:szCs w:val="32"/>
        </w:rPr>
        <w:t>全年</w:t>
      </w:r>
      <w:bookmarkStart w:id="68" w:name="OLE_LINK34"/>
      <w:bookmarkStart w:id="69" w:name="OLE_LINK35"/>
      <w:bookmarkStart w:id="70" w:name="OLE_LINK36"/>
      <w:r>
        <w:rPr>
          <w:rFonts w:hint="eastAsia" w:ascii="仿宋_GB2312" w:eastAsia="仿宋_GB2312"/>
          <w:color w:val="000000" w:themeColor="text1"/>
          <w:sz w:val="32"/>
          <w:szCs w:val="32"/>
        </w:rPr>
        <w:t>使用一般公共预算财政拨款安排的出国（境）团组</w:t>
      </w:r>
      <w:bookmarkEnd w:id="67"/>
      <w:bookmarkEnd w:id="68"/>
      <w:bookmarkEnd w:id="69"/>
      <w:r>
        <w:rPr>
          <w:rFonts w:hint="eastAsia" w:ascii="仿宋_GB2312" w:eastAsia="仿宋_GB2312"/>
          <w:sz w:val="32"/>
          <w:szCs w:val="32"/>
        </w:rPr>
        <w:t>0</w:t>
      </w:r>
      <w:r>
        <w:rPr>
          <w:rFonts w:hint="eastAsia" w:ascii="仿宋_GB2312" w:eastAsia="仿宋_GB2312"/>
          <w:color w:val="000000" w:themeColor="text1"/>
          <w:sz w:val="32"/>
          <w:szCs w:val="32"/>
        </w:rPr>
        <w:t>个</w:t>
      </w:r>
      <w:bookmarkEnd w:id="70"/>
      <w:r>
        <w:rPr>
          <w:rFonts w:hint="eastAsia" w:ascii="仿宋_GB2312" w:eastAsia="仿宋_GB2312"/>
          <w:color w:val="000000" w:themeColor="text1"/>
          <w:sz w:val="32"/>
          <w:szCs w:val="32"/>
        </w:rPr>
        <w:t>，</w:t>
      </w:r>
      <w:bookmarkStart w:id="71" w:name="OLE_LINK37"/>
      <w:r>
        <w:rPr>
          <w:rFonts w:hint="eastAsia" w:ascii="仿宋_GB2312" w:eastAsia="仿宋_GB2312"/>
          <w:color w:val="000000" w:themeColor="text1"/>
          <w:sz w:val="32"/>
          <w:szCs w:val="32"/>
        </w:rPr>
        <w:t>累计</w:t>
      </w:r>
      <w:r>
        <w:rPr>
          <w:rFonts w:hint="eastAsia" w:ascii="仿宋_GB2312" w:eastAsia="仿宋_GB2312"/>
          <w:sz w:val="32"/>
          <w:szCs w:val="32"/>
        </w:rPr>
        <w:t>0</w:t>
      </w:r>
      <w:r>
        <w:rPr>
          <w:rFonts w:hint="eastAsia" w:ascii="仿宋_GB2312" w:eastAsia="仿宋_GB2312"/>
          <w:color w:val="000000" w:themeColor="text1"/>
          <w:sz w:val="32"/>
          <w:szCs w:val="32"/>
        </w:rPr>
        <w:t>人次</w:t>
      </w:r>
      <w:bookmarkEnd w:id="71"/>
      <w:r>
        <w:rPr>
          <w:rFonts w:hint="eastAsia" w:ascii="仿宋_GB2312" w:eastAsia="仿宋_GB2312"/>
          <w:color w:val="000000" w:themeColor="text1"/>
          <w:sz w:val="32"/>
          <w:szCs w:val="32"/>
        </w:rPr>
        <w:t>。</w:t>
      </w:r>
      <w:bookmarkStart w:id="72" w:name="OLE_LINK38"/>
      <w:r>
        <w:rPr>
          <w:rFonts w:hint="eastAsia" w:ascii="仿宋_GB2312" w:eastAsia="仿宋_GB2312"/>
          <w:color w:val="000000" w:themeColor="text1"/>
          <w:sz w:val="32"/>
          <w:szCs w:val="32"/>
        </w:rPr>
        <w:t>开支内容包括：</w:t>
      </w:r>
      <w:r>
        <w:rPr>
          <w:rFonts w:ascii="仿宋_GB2312" w:eastAsia="仿宋_GB2312"/>
          <w:color w:val="000000" w:themeColor="text1"/>
          <w:sz w:val="32"/>
          <w:szCs w:val="32"/>
        </w:rPr>
        <w:t>本单位无此项预算安排。</w:t>
      </w:r>
      <w:bookmarkEnd w:id="65"/>
      <w:bookmarkEnd w:id="66"/>
      <w:bookmarkEnd w:id="72"/>
    </w:p>
    <w:p>
      <w:pPr>
        <w:spacing w:line="540" w:lineRule="exact"/>
        <w:ind w:firstLine="640" w:firstLineChars="200"/>
        <w:rPr>
          <w:rFonts w:ascii="仿宋_GB2312" w:eastAsia="仿宋_GB2312"/>
          <w:color w:val="000000" w:themeColor="text1"/>
          <w:sz w:val="32"/>
          <w:szCs w:val="32"/>
        </w:rPr>
      </w:pPr>
      <w:bookmarkStart w:id="73" w:name="OLE_LINK81"/>
      <w:r>
        <w:rPr>
          <w:rFonts w:hint="eastAsia" w:ascii="仿宋_GB2312" w:eastAsia="仿宋_GB2312"/>
          <w:color w:val="000000" w:themeColor="text1"/>
          <w:sz w:val="32"/>
          <w:szCs w:val="32"/>
        </w:rPr>
        <w:t>公务用车购置及运行维护费</w:t>
      </w:r>
      <w:r>
        <w:rPr>
          <w:rFonts w:hint="eastAsia" w:ascii="仿宋_GB2312" w:eastAsia="仿宋_GB2312"/>
          <w:sz w:val="32"/>
          <w:szCs w:val="32"/>
        </w:rPr>
        <w:t>3.5</w:t>
      </w:r>
      <w:r>
        <w:rPr>
          <w:rFonts w:hint="eastAsia" w:ascii="仿宋_GB2312" w:eastAsia="仿宋_GB2312"/>
          <w:color w:val="000000" w:themeColor="text1"/>
          <w:sz w:val="32"/>
          <w:szCs w:val="32"/>
        </w:rPr>
        <w:t>万元,其中，</w:t>
      </w:r>
      <w:bookmarkStart w:id="74" w:name="OLE_LINK39"/>
      <w:r>
        <w:rPr>
          <w:rFonts w:hint="eastAsia" w:ascii="仿宋_GB2312" w:eastAsia="仿宋_GB2312"/>
          <w:color w:val="000000" w:themeColor="text1"/>
          <w:sz w:val="32"/>
          <w:szCs w:val="32"/>
        </w:rPr>
        <w:t>公务用车购置</w:t>
      </w:r>
      <w:r>
        <w:rPr>
          <w:rFonts w:hint="eastAsia" w:ascii="仿宋_GB2312" w:eastAsia="仿宋_GB2312"/>
          <w:sz w:val="32"/>
          <w:szCs w:val="32"/>
        </w:rPr>
        <w:t>0</w:t>
      </w:r>
      <w:r>
        <w:rPr>
          <w:rFonts w:hint="eastAsia" w:ascii="仿宋_GB2312" w:eastAsia="仿宋_GB2312"/>
          <w:color w:val="000000" w:themeColor="text1"/>
          <w:sz w:val="32"/>
          <w:szCs w:val="32"/>
        </w:rPr>
        <w:t>万元</w:t>
      </w:r>
      <w:bookmarkEnd w:id="74"/>
      <w:r>
        <w:rPr>
          <w:rFonts w:hint="eastAsia" w:ascii="仿宋_GB2312" w:eastAsia="仿宋_GB2312"/>
          <w:color w:val="000000" w:themeColor="text1"/>
          <w:sz w:val="32"/>
          <w:szCs w:val="32"/>
        </w:rPr>
        <w:t>，</w:t>
      </w:r>
      <w:bookmarkStart w:id="75" w:name="OLE_LINK41"/>
      <w:bookmarkStart w:id="76" w:name="OLE_LINK40"/>
      <w:r>
        <w:rPr>
          <w:rFonts w:hint="eastAsia" w:ascii="仿宋_GB2312" w:eastAsia="仿宋_GB2312"/>
          <w:color w:val="000000" w:themeColor="text1"/>
          <w:sz w:val="32"/>
          <w:szCs w:val="32"/>
        </w:rPr>
        <w:t>公务用车运行维护费</w:t>
      </w:r>
      <w:r>
        <w:rPr>
          <w:rFonts w:hint="eastAsia" w:ascii="仿宋_GB2312" w:eastAsia="仿宋_GB2312"/>
          <w:sz w:val="32"/>
          <w:szCs w:val="32"/>
        </w:rPr>
        <w:t>3.5</w:t>
      </w:r>
      <w:r>
        <w:rPr>
          <w:rFonts w:hint="eastAsia" w:ascii="仿宋_GB2312" w:eastAsia="仿宋_GB2312"/>
          <w:color w:val="000000" w:themeColor="text1"/>
          <w:sz w:val="32"/>
          <w:szCs w:val="32"/>
        </w:rPr>
        <w:t>万元</w:t>
      </w:r>
      <w:bookmarkEnd w:id="75"/>
      <w:bookmarkEnd w:id="76"/>
      <w:r>
        <w:rPr>
          <w:rFonts w:hint="eastAsia" w:ascii="仿宋_GB2312" w:eastAsia="仿宋_GB2312"/>
          <w:color w:val="000000" w:themeColor="text1"/>
          <w:sz w:val="32"/>
          <w:szCs w:val="32"/>
        </w:rPr>
        <w:t>。主要用于</w:t>
      </w:r>
      <w:r>
        <w:rPr>
          <w:rFonts w:hint="eastAsia" w:ascii="仿宋_GB2312" w:eastAsia="仿宋_GB2312"/>
          <w:sz w:val="32"/>
          <w:szCs w:val="32"/>
        </w:rPr>
        <w:t>严格执行“三公”经费只减不增的要求</w:t>
      </w:r>
      <w:r>
        <w:rPr>
          <w:rFonts w:hint="eastAsia" w:ascii="仿宋_GB2312" w:eastAsia="仿宋_GB2312"/>
          <w:color w:val="000000" w:themeColor="text1"/>
          <w:sz w:val="32"/>
          <w:szCs w:val="32"/>
        </w:rPr>
        <w:t>等。</w:t>
      </w:r>
      <w:bookmarkEnd w:id="73"/>
      <w:bookmarkStart w:id="77" w:name="OLE_LINK82"/>
      <w:r>
        <w:rPr>
          <w:rFonts w:hint="eastAsia" w:ascii="仿宋_GB2312" w:eastAsia="仿宋_GB2312"/>
          <w:color w:val="000000" w:themeColor="text1"/>
          <w:sz w:val="32"/>
          <w:szCs w:val="32"/>
        </w:rPr>
        <w:t>单位一般公共财政拨款安排的公务用车购置量</w:t>
      </w:r>
      <w:r>
        <w:rPr>
          <w:rFonts w:hint="eastAsia" w:ascii="仿宋_GB2312" w:eastAsia="仿宋_GB2312"/>
          <w:sz w:val="32"/>
          <w:szCs w:val="32"/>
        </w:rPr>
        <w:t>0</w:t>
      </w:r>
      <w:r>
        <w:rPr>
          <w:rFonts w:hint="eastAsia" w:ascii="仿宋_GB2312" w:eastAsia="仿宋_GB2312"/>
          <w:color w:val="000000" w:themeColor="text1"/>
          <w:sz w:val="32"/>
          <w:szCs w:val="32"/>
        </w:rPr>
        <w:t>辆，保有量为</w:t>
      </w:r>
      <w:r>
        <w:rPr>
          <w:rFonts w:hint="eastAsia" w:ascii="仿宋_GB2312" w:eastAsia="仿宋_GB2312"/>
          <w:sz w:val="32"/>
          <w:szCs w:val="32"/>
        </w:rPr>
        <w:t>2</w:t>
      </w:r>
      <w:r>
        <w:rPr>
          <w:rFonts w:hint="eastAsia" w:ascii="仿宋_GB2312" w:eastAsia="仿宋_GB2312"/>
          <w:color w:val="000000" w:themeColor="text1"/>
          <w:sz w:val="32"/>
          <w:szCs w:val="32"/>
        </w:rPr>
        <w:t>辆。</w:t>
      </w:r>
      <w:bookmarkEnd w:id="77"/>
    </w:p>
    <w:p>
      <w:pPr>
        <w:spacing w:line="540" w:lineRule="exact"/>
        <w:ind w:firstLine="640" w:firstLineChars="200"/>
        <w:rPr>
          <w:rFonts w:ascii="仿宋_GB2312" w:eastAsia="仿宋_GB2312"/>
          <w:color w:val="000000" w:themeColor="text1"/>
          <w:sz w:val="32"/>
          <w:szCs w:val="32"/>
        </w:rPr>
      </w:pPr>
      <w:bookmarkStart w:id="78" w:name="OLE_LINK83"/>
      <w:r>
        <w:rPr>
          <w:rFonts w:hint="eastAsia" w:ascii="仿宋_GB2312" w:eastAsia="仿宋_GB2312"/>
          <w:color w:val="000000" w:themeColor="text1"/>
          <w:sz w:val="32"/>
          <w:szCs w:val="32"/>
        </w:rPr>
        <w:t>公务接待费</w:t>
      </w:r>
      <w:r>
        <w:rPr>
          <w:rFonts w:hint="eastAsia" w:ascii="仿宋_GB2312" w:eastAsia="仿宋_GB2312"/>
          <w:sz w:val="32"/>
          <w:szCs w:val="32"/>
        </w:rPr>
        <w:t>0</w:t>
      </w:r>
      <w:r>
        <w:rPr>
          <w:rFonts w:hint="eastAsia" w:ascii="仿宋_GB2312" w:eastAsia="仿宋_GB2312"/>
          <w:color w:val="000000" w:themeColor="text1"/>
          <w:sz w:val="32"/>
          <w:szCs w:val="32"/>
        </w:rPr>
        <w:t>万元。具体是：国内公务接待支出</w:t>
      </w:r>
      <w:r>
        <w:rPr>
          <w:rFonts w:hint="eastAsia" w:ascii="仿宋_GB2312" w:eastAsia="仿宋_GB2312"/>
          <w:sz w:val="32"/>
          <w:szCs w:val="32"/>
        </w:rPr>
        <w:t>0</w:t>
      </w:r>
      <w:r>
        <w:rPr>
          <w:rFonts w:hint="eastAsia" w:ascii="仿宋_GB2312" w:eastAsia="仿宋_GB2312"/>
          <w:color w:val="000000" w:themeColor="text1"/>
          <w:sz w:val="32"/>
          <w:szCs w:val="32"/>
        </w:rPr>
        <w:t>万元，主要是</w:t>
      </w:r>
      <w:r>
        <w:rPr>
          <w:rFonts w:hint="eastAsia" w:ascii="仿宋_GB2312" w:eastAsia="仿宋_GB2312"/>
          <w:sz w:val="32"/>
          <w:szCs w:val="32"/>
        </w:rPr>
        <w:t>本单位无此项预算安排</w:t>
      </w:r>
      <w:r>
        <w:rPr>
          <w:rFonts w:hint="eastAsia" w:ascii="仿宋_GB2312" w:eastAsia="仿宋_GB2312"/>
          <w:color w:val="000000" w:themeColor="text1"/>
          <w:sz w:val="32"/>
          <w:szCs w:val="32"/>
        </w:rPr>
        <w:t>。</w:t>
      </w:r>
      <w:bookmarkEnd w:id="78"/>
      <w:bookmarkStart w:id="79" w:name="OLE_LINK84"/>
      <w:r>
        <w:rPr>
          <w:rFonts w:hint="eastAsia" w:ascii="仿宋_GB2312" w:eastAsia="仿宋_GB2312"/>
          <w:sz w:val="32"/>
          <w:szCs w:val="32"/>
        </w:rPr>
        <w:t>新疆喀什地区英吉沙县色提力乡人民政府（本级）</w:t>
      </w:r>
      <w:r>
        <w:rPr>
          <w:rFonts w:hint="eastAsia" w:ascii="仿宋_GB2312" w:eastAsia="仿宋_GB2312"/>
          <w:color w:val="000000" w:themeColor="text1"/>
          <w:sz w:val="32"/>
          <w:szCs w:val="32"/>
        </w:rPr>
        <w:t>单位国内公务接待</w:t>
      </w:r>
      <w:r>
        <w:rPr>
          <w:rFonts w:hint="eastAsia" w:ascii="仿宋_GB2312" w:eastAsia="仿宋_GB2312"/>
          <w:sz w:val="32"/>
          <w:szCs w:val="32"/>
        </w:rPr>
        <w:t>0</w:t>
      </w:r>
      <w:r>
        <w:rPr>
          <w:rFonts w:hint="eastAsia" w:ascii="仿宋_GB2312" w:eastAsia="仿宋_GB2312"/>
          <w:color w:val="000000" w:themeColor="text1"/>
          <w:sz w:val="32"/>
          <w:szCs w:val="32"/>
        </w:rPr>
        <w:t>批次，</w:t>
      </w:r>
      <w:r>
        <w:rPr>
          <w:rFonts w:hint="eastAsia" w:ascii="仿宋_GB2312" w:eastAsia="仿宋_GB2312"/>
          <w:sz w:val="32"/>
          <w:szCs w:val="32"/>
        </w:rPr>
        <w:t>0</w:t>
      </w:r>
      <w:r>
        <w:rPr>
          <w:rFonts w:hint="eastAsia" w:ascii="仿宋_GB2312" w:eastAsia="仿宋_GB2312"/>
          <w:color w:val="000000" w:themeColor="text1"/>
          <w:sz w:val="32"/>
          <w:szCs w:val="32"/>
        </w:rPr>
        <w:t>人次。</w:t>
      </w:r>
      <w:bookmarkEnd w:id="79"/>
    </w:p>
    <w:p>
      <w:pPr>
        <w:spacing w:line="540" w:lineRule="exact"/>
        <w:ind w:firstLine="640" w:firstLineChars="200"/>
        <w:rPr>
          <w:rFonts w:ascii="仿宋_GB2312" w:hAnsi="宋体" w:eastAsia="仿宋_GB2312" w:cs="宋体"/>
          <w:color w:val="000000" w:themeColor="text1"/>
          <w:kern w:val="0"/>
          <w:sz w:val="32"/>
          <w:szCs w:val="32"/>
        </w:rPr>
      </w:pPr>
      <w:bookmarkStart w:id="80" w:name="OLE_LINK85"/>
      <w:r>
        <w:rPr>
          <w:rFonts w:hint="eastAsia" w:ascii="仿宋_GB2312" w:eastAsia="仿宋_GB2312"/>
          <w:color w:val="000000" w:themeColor="text1"/>
          <w:sz w:val="32"/>
          <w:szCs w:val="32"/>
        </w:rPr>
        <w:t>与年初预算数相比情况：一般公共预算“三公”经费支出年初预算数</w:t>
      </w:r>
      <w:r>
        <w:rPr>
          <w:rFonts w:ascii="仿宋_GB2312" w:eastAsia="仿宋_GB2312"/>
          <w:color w:val="000000" w:themeColor="text1"/>
          <w:sz w:val="32"/>
          <w:szCs w:val="32"/>
        </w:rPr>
        <w:t>3.75</w:t>
      </w:r>
      <w:r>
        <w:rPr>
          <w:rFonts w:hint="eastAsia" w:ascii="仿宋_GB2312" w:eastAsia="仿宋_GB2312"/>
          <w:color w:val="000000" w:themeColor="text1"/>
          <w:sz w:val="32"/>
          <w:szCs w:val="32"/>
        </w:rPr>
        <w:t>万元，决算数3.5万元</w:t>
      </w:r>
      <w:r>
        <w:rPr>
          <w:rFonts w:ascii="仿宋_GB2312" w:eastAsia="仿宋_GB2312"/>
          <w:color w:val="000000" w:themeColor="text1"/>
          <w:sz w:val="32"/>
          <w:szCs w:val="32"/>
        </w:rPr>
        <w:t>，预决算差异率-6.67%，差异主要原因是严格执行“三公”经费只减不增的要求。</w:t>
      </w:r>
      <w:bookmarkEnd w:id="80"/>
      <w:bookmarkStart w:id="81" w:name="OLE_LINK86"/>
      <w:bookmarkStart w:id="82" w:name="OLE_LINK87"/>
      <w:r>
        <w:rPr>
          <w:rFonts w:hint="eastAsia" w:ascii="仿宋_GB2312" w:hAnsi="宋体" w:eastAsia="仿宋_GB2312" w:cs="宋体"/>
          <w:color w:val="000000" w:themeColor="text1"/>
          <w:kern w:val="0"/>
          <w:sz w:val="32"/>
          <w:szCs w:val="32"/>
        </w:rPr>
        <w:t>其中：因公出国（境）费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，预决算差异率0%，差异主要原因是本单位无此项预算安排；</w:t>
      </w:r>
      <w:bookmarkEnd w:id="81"/>
      <w:bookmarkEnd w:id="82"/>
      <w:bookmarkStart w:id="83" w:name="OLE_LINK89"/>
      <w:bookmarkStart w:id="84" w:name="OLE_LINK88"/>
      <w:r>
        <w:rPr>
          <w:rFonts w:hint="eastAsia" w:ascii="仿宋_GB2312" w:hAnsi="宋体" w:eastAsia="仿宋_GB2312" w:cs="宋体"/>
          <w:color w:val="000000" w:themeColor="text1"/>
          <w:kern w:val="0"/>
          <w:sz w:val="32"/>
          <w:szCs w:val="32"/>
        </w:rPr>
        <w:t>公务用车购置</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，预决算差异率0%，差异主要原因是本单位无此项预算安排；</w:t>
      </w:r>
      <w:bookmarkEnd w:id="83"/>
      <w:bookmarkEnd w:id="84"/>
      <w:bookmarkStart w:id="85" w:name="OLE_LINK90"/>
      <w:r>
        <w:rPr>
          <w:rFonts w:hint="eastAsia" w:ascii="仿宋_GB2312" w:hAnsi="宋体" w:eastAsia="仿宋_GB2312" w:cs="宋体"/>
          <w:color w:val="000000" w:themeColor="text1"/>
          <w:kern w:val="0"/>
          <w:sz w:val="32"/>
          <w:szCs w:val="32"/>
        </w:rPr>
        <w:t>公务用车运行费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3.75</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3.5</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，预决算差异率-6.67%，差异主要原因是严格执行“三公”经费只减不增的要求；</w:t>
      </w:r>
      <w:bookmarkEnd w:id="85"/>
      <w:bookmarkStart w:id="86" w:name="OLE_LINK91"/>
      <w:r>
        <w:rPr>
          <w:rFonts w:hint="eastAsia" w:ascii="仿宋_GB2312" w:hAnsi="宋体" w:eastAsia="仿宋_GB2312" w:cs="宋体"/>
          <w:color w:val="000000" w:themeColor="text1"/>
          <w:kern w:val="0"/>
          <w:sz w:val="32"/>
          <w:szCs w:val="32"/>
        </w:rPr>
        <w:t>公务接待费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，预决算差异率0%，差异主要原因是</w:t>
      </w:r>
      <w:bookmarkEnd w:id="86"/>
      <w:r>
        <w:rPr>
          <w:rFonts w:ascii="仿宋_GB2312" w:eastAsia="仿宋_GB2312"/>
          <w:color w:val="000000" w:themeColor="text1"/>
          <w:sz w:val="32"/>
          <w:szCs w:val="32"/>
        </w:rPr>
        <w:t>本单位无此项预算安排。</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五、机关运行经费支出情况</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2018年度新疆喀什地区英吉沙县色提力乡人民政府（本级）机关运行经费支出105万元，与上年相比，增加39.64万元，增长60.65%，主要原因是：机关各部门业务工作量增加，人员增增加，各项办公经费增加。</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六、政府采购情况</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2018年度</w:t>
      </w:r>
      <w:bookmarkStart w:id="87" w:name="OLE_LINK45"/>
      <w:r>
        <w:rPr>
          <w:rFonts w:hint="eastAsia" w:ascii="仿宋_GB2312" w:eastAsia="仿宋_GB2312"/>
          <w:color w:val="000000" w:themeColor="text1"/>
          <w:sz w:val="32"/>
          <w:szCs w:val="32"/>
        </w:rPr>
        <w:t>政府采购支出总额</w:t>
      </w:r>
      <w:bookmarkEnd w:id="87"/>
      <w:r>
        <w:rPr>
          <w:rFonts w:hint="eastAsia" w:ascii="仿宋_GB2312" w:eastAsia="仿宋_GB2312"/>
          <w:sz w:val="32"/>
          <w:szCs w:val="32"/>
        </w:rPr>
        <w:t>167.13</w:t>
      </w:r>
      <w:r>
        <w:rPr>
          <w:rFonts w:hint="eastAsia" w:ascii="仿宋_GB2312" w:eastAsia="仿宋_GB2312"/>
          <w:color w:val="000000" w:themeColor="text1"/>
          <w:sz w:val="32"/>
          <w:szCs w:val="32"/>
        </w:rPr>
        <w:t>万元，其中：</w:t>
      </w:r>
      <w:bookmarkStart w:id="88" w:name="OLE_LINK46"/>
      <w:r>
        <w:rPr>
          <w:rFonts w:hint="eastAsia" w:ascii="仿宋_GB2312" w:eastAsia="仿宋_GB2312"/>
          <w:color w:val="000000" w:themeColor="text1"/>
          <w:sz w:val="32"/>
          <w:szCs w:val="32"/>
        </w:rPr>
        <w:t>政府采购货物支出</w:t>
      </w:r>
      <w:bookmarkEnd w:id="88"/>
      <w:r>
        <w:rPr>
          <w:rFonts w:hint="eastAsia" w:ascii="仿宋_GB2312" w:eastAsia="仿宋_GB2312"/>
          <w:sz w:val="32"/>
          <w:szCs w:val="32"/>
        </w:rPr>
        <w:t>167.13</w:t>
      </w:r>
      <w:r>
        <w:rPr>
          <w:rFonts w:hint="eastAsia" w:ascii="仿宋_GB2312" w:eastAsia="仿宋_GB2312"/>
          <w:color w:val="000000" w:themeColor="text1"/>
          <w:sz w:val="32"/>
          <w:szCs w:val="32"/>
        </w:rPr>
        <w:t>万元、</w:t>
      </w:r>
      <w:bookmarkStart w:id="89" w:name="OLE_LINK47"/>
      <w:r>
        <w:rPr>
          <w:rFonts w:hint="eastAsia" w:ascii="仿宋_GB2312" w:eastAsia="仿宋_GB2312"/>
          <w:color w:val="000000" w:themeColor="text1"/>
          <w:sz w:val="32"/>
          <w:szCs w:val="32"/>
        </w:rPr>
        <w:t>政府采购工程支出</w:t>
      </w:r>
      <w:bookmarkEnd w:id="89"/>
      <w:r>
        <w:rPr>
          <w:rFonts w:hint="eastAsia" w:ascii="仿宋_GB2312" w:eastAsia="仿宋_GB2312"/>
          <w:sz w:val="32"/>
          <w:szCs w:val="32"/>
        </w:rPr>
        <w:t>0</w:t>
      </w:r>
      <w:r>
        <w:rPr>
          <w:rFonts w:hint="eastAsia" w:ascii="仿宋_GB2312" w:eastAsia="仿宋_GB2312"/>
          <w:color w:val="000000" w:themeColor="text1"/>
          <w:sz w:val="32"/>
          <w:szCs w:val="32"/>
        </w:rPr>
        <w:t>万元、</w:t>
      </w:r>
      <w:bookmarkStart w:id="90" w:name="OLE_LINK48"/>
      <w:r>
        <w:rPr>
          <w:rFonts w:hint="eastAsia" w:ascii="仿宋_GB2312" w:eastAsia="仿宋_GB2312"/>
          <w:color w:val="000000" w:themeColor="text1"/>
          <w:sz w:val="32"/>
          <w:szCs w:val="32"/>
        </w:rPr>
        <w:t>政府采购服务支出</w:t>
      </w:r>
      <w:bookmarkEnd w:id="90"/>
      <w:r>
        <w:rPr>
          <w:rFonts w:hint="eastAsia" w:ascii="仿宋_GB2312" w:eastAsia="仿宋_GB2312"/>
          <w:sz w:val="32"/>
          <w:szCs w:val="32"/>
        </w:rPr>
        <w:t>0</w:t>
      </w:r>
      <w:r>
        <w:rPr>
          <w:rFonts w:hint="eastAsia" w:ascii="仿宋_GB2312" w:eastAsia="仿宋_GB2312"/>
          <w:color w:val="000000" w:themeColor="text1"/>
          <w:sz w:val="32"/>
          <w:szCs w:val="32"/>
        </w:rPr>
        <w:t>万元。</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七、其他重要事项的情况</w:t>
      </w:r>
    </w:p>
    <w:p>
      <w:pPr>
        <w:spacing w:line="540" w:lineRule="exact"/>
        <w:ind w:firstLine="643" w:firstLineChars="200"/>
        <w:rPr>
          <w:rFonts w:ascii="楷体_GB2312" w:eastAsia="楷体_GB2312"/>
          <w:b/>
          <w:bCs/>
          <w:color w:val="000000" w:themeColor="text1"/>
          <w:sz w:val="32"/>
          <w:szCs w:val="32"/>
        </w:rPr>
      </w:pPr>
      <w:r>
        <w:rPr>
          <w:rFonts w:hint="eastAsia" w:ascii="楷体_GB2312" w:eastAsia="楷体_GB2312"/>
          <w:b/>
          <w:bCs/>
          <w:color w:val="000000" w:themeColor="text1"/>
          <w:sz w:val="32"/>
          <w:szCs w:val="32"/>
        </w:rPr>
        <w:t>（一）国有资产占用情况说明</w:t>
      </w:r>
    </w:p>
    <w:p>
      <w:pPr>
        <w:spacing w:line="540" w:lineRule="exact"/>
        <w:ind w:firstLine="640" w:firstLineChars="200"/>
        <w:rPr>
          <w:rFonts w:ascii="仿宋_GB2312" w:eastAsia="仿宋_GB2312"/>
          <w:color w:val="000000" w:themeColor="text1"/>
          <w:sz w:val="32"/>
          <w:szCs w:val="32"/>
        </w:rPr>
      </w:pPr>
      <w:bookmarkStart w:id="91" w:name="OLE_LINK97"/>
      <w:r>
        <w:rPr>
          <w:rFonts w:hint="eastAsia" w:ascii="仿宋_GB2312" w:eastAsia="仿宋_GB2312"/>
          <w:color w:val="000000" w:themeColor="text1"/>
          <w:sz w:val="32"/>
          <w:szCs w:val="32"/>
        </w:rPr>
        <w:t>截至2018年12月31日，单位共有车辆</w:t>
      </w:r>
      <w:r>
        <w:rPr>
          <w:rFonts w:hint="eastAsia" w:ascii="仿宋_GB2312" w:eastAsia="仿宋_GB2312"/>
          <w:sz w:val="32"/>
          <w:szCs w:val="32"/>
        </w:rPr>
        <w:t>2</w:t>
      </w:r>
      <w:r>
        <w:rPr>
          <w:rFonts w:hint="eastAsia" w:ascii="仿宋_GB2312" w:eastAsia="仿宋_GB2312"/>
          <w:color w:val="000000" w:themeColor="text1"/>
          <w:sz w:val="32"/>
          <w:szCs w:val="32"/>
        </w:rPr>
        <w:t>辆，价值</w:t>
      </w:r>
      <w:r>
        <w:rPr>
          <w:rFonts w:hint="eastAsia" w:ascii="仿宋_GB2312" w:eastAsia="仿宋_GB2312"/>
          <w:sz w:val="32"/>
          <w:szCs w:val="32"/>
        </w:rPr>
        <w:t>16.32</w:t>
      </w:r>
      <w:r>
        <w:rPr>
          <w:rFonts w:hint="eastAsia" w:ascii="仿宋_GB2312" w:eastAsia="仿宋_GB2312"/>
          <w:color w:val="000000" w:themeColor="text1"/>
          <w:sz w:val="32"/>
          <w:szCs w:val="32"/>
        </w:rPr>
        <w:t>万元，其中：部级领导干部用车</w:t>
      </w:r>
      <w:r>
        <w:rPr>
          <w:rFonts w:hint="eastAsia" w:ascii="仿宋_GB2312" w:eastAsia="仿宋_GB2312"/>
          <w:sz w:val="32"/>
          <w:szCs w:val="32"/>
        </w:rPr>
        <w:t>0</w:t>
      </w:r>
      <w:r>
        <w:rPr>
          <w:rFonts w:hint="eastAsia" w:ascii="仿宋_GB2312" w:eastAsia="仿宋_GB2312"/>
          <w:color w:val="000000" w:themeColor="text1"/>
          <w:sz w:val="32"/>
          <w:szCs w:val="32"/>
        </w:rPr>
        <w:t>辆、主要领导干部用车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辆、机要通信用车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辆、应急保障用车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辆、执法执勤用车</w:t>
      </w:r>
      <w:r>
        <w:rPr>
          <w:rFonts w:hint="eastAsia" w:ascii="仿宋_GB2312" w:eastAsia="仿宋_GB2312"/>
          <w:sz w:val="32"/>
          <w:szCs w:val="32"/>
        </w:rPr>
        <w:t>1</w:t>
      </w:r>
      <w:r>
        <w:rPr>
          <w:rFonts w:hint="eastAsia" w:ascii="仿宋_GB2312" w:eastAsia="仿宋_GB2312"/>
          <w:color w:val="000000" w:themeColor="text1"/>
          <w:sz w:val="32"/>
          <w:szCs w:val="32"/>
        </w:rPr>
        <w:t>辆、特种专业技术用车</w:t>
      </w:r>
      <w:r>
        <w:rPr>
          <w:rFonts w:hint="eastAsia" w:ascii="仿宋_GB2312" w:eastAsia="仿宋_GB2312"/>
          <w:sz w:val="32"/>
          <w:szCs w:val="32"/>
        </w:rPr>
        <w:t>0</w:t>
      </w:r>
      <w:r>
        <w:rPr>
          <w:rFonts w:hint="eastAsia" w:ascii="仿宋_GB2312" w:eastAsia="仿宋_GB2312"/>
          <w:color w:val="000000" w:themeColor="text1"/>
          <w:sz w:val="32"/>
          <w:szCs w:val="32"/>
        </w:rPr>
        <w:t>辆、离退休干部用车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辆、其他用车</w:t>
      </w:r>
      <w:r>
        <w:rPr>
          <w:rFonts w:ascii="仿宋_GB2312" w:eastAsia="仿宋_GB2312"/>
          <w:color w:val="000000" w:themeColor="text1"/>
          <w:sz w:val="32"/>
          <w:szCs w:val="32"/>
        </w:rPr>
        <w:t>1</w:t>
      </w:r>
      <w:r>
        <w:rPr>
          <w:rFonts w:hint="eastAsia" w:ascii="仿宋_GB2312" w:eastAsia="仿宋_GB2312"/>
          <w:color w:val="000000" w:themeColor="text1"/>
          <w:sz w:val="32"/>
          <w:szCs w:val="32"/>
        </w:rPr>
        <w:t>辆，其他用车主要是：宣传部门用车</w:t>
      </w:r>
      <w:r>
        <w:rPr>
          <w:rFonts w:ascii="仿宋_GB2312" w:eastAsia="仿宋_GB2312"/>
          <w:color w:val="000000" w:themeColor="text1"/>
          <w:sz w:val="32"/>
          <w:szCs w:val="32"/>
        </w:rPr>
        <w:t>；</w:t>
      </w:r>
      <w:r>
        <w:rPr>
          <w:rFonts w:hint="eastAsia" w:ascii="仿宋_GB2312" w:eastAsia="仿宋_GB2312"/>
          <w:color w:val="000000" w:themeColor="text1"/>
          <w:sz w:val="32"/>
          <w:szCs w:val="32"/>
        </w:rPr>
        <w:t>单位价值50万元以上通用设备</w:t>
      </w:r>
      <w:r>
        <w:rPr>
          <w:rFonts w:hint="eastAsia" w:ascii="仿宋_GB2312" w:eastAsia="仿宋_GB2312"/>
          <w:sz w:val="32"/>
          <w:szCs w:val="32"/>
        </w:rPr>
        <w:t>0</w:t>
      </w:r>
      <w:r>
        <w:rPr>
          <w:rFonts w:hint="eastAsia" w:ascii="仿宋_GB2312" w:eastAsia="仿宋_GB2312"/>
          <w:color w:val="000000" w:themeColor="text1"/>
          <w:sz w:val="32"/>
          <w:szCs w:val="32"/>
        </w:rPr>
        <w:t>台（套）、单位价值100万元以上专用设备</w:t>
      </w:r>
      <w:r>
        <w:rPr>
          <w:rFonts w:hint="eastAsia" w:ascii="仿宋_GB2312" w:eastAsia="仿宋_GB2312"/>
          <w:sz w:val="32"/>
          <w:szCs w:val="32"/>
        </w:rPr>
        <w:t>0</w:t>
      </w:r>
      <w:r>
        <w:rPr>
          <w:rFonts w:hint="eastAsia" w:ascii="仿宋_GB2312" w:eastAsia="仿宋_GB2312"/>
          <w:color w:val="000000" w:themeColor="text1"/>
          <w:sz w:val="32"/>
          <w:szCs w:val="32"/>
        </w:rPr>
        <w:t>台（套）。</w:t>
      </w:r>
      <w:bookmarkEnd w:id="91"/>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（二）预算绩效情况的说明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2018年度，本部门单位预算绩效自评情况：</w:t>
      </w:r>
      <w:r>
        <w:rPr>
          <w:rFonts w:ascii="仿宋_GB2312" w:eastAsia="仿宋_GB2312"/>
          <w:sz w:val="32"/>
          <w:szCs w:val="32"/>
        </w:rPr>
        <w:t>本年度开展预算绩效管理和绩效自评工作，以强化单位职能为核心，通过建立科学合理的绩效机制，客观准确的评价我单位项目支出绩效，不断完善绩效评价体系，加强监督检查和考核工作。我单位在实际执行过程中注重结果导向、强调成本效益、硬化责任约束，不断加强绩效管理队伍建设，提升业务素质，提高预算管理水平和政策实施效果，实现预算和绩效管理一体，着力提高财政资源配置效率和使用效益，全面提升我单位公共服务水平。 英吉沙县色提力乡人民政府2018年度部门预算总额为3,299.47万元，执行金额为3,299.47万元，预算执行率为100%。本次自评共涉及项目数</w:t>
      </w:r>
      <w:r>
        <w:rPr>
          <w:rFonts w:hint="eastAsia" w:ascii="仿宋_GB2312" w:eastAsia="仿宋_GB2312"/>
          <w:sz w:val="32"/>
          <w:szCs w:val="32"/>
          <w:lang w:val="en-US" w:eastAsia="zh-CN"/>
        </w:rPr>
        <w:t>25</w:t>
      </w:r>
      <w:r>
        <w:rPr>
          <w:rFonts w:ascii="仿宋_GB2312" w:eastAsia="仿宋_GB2312"/>
          <w:sz w:val="32"/>
          <w:szCs w:val="32"/>
        </w:rPr>
        <w:t>个，其中已完成项目</w:t>
      </w:r>
      <w:r>
        <w:rPr>
          <w:rFonts w:hint="eastAsia" w:ascii="仿宋_GB2312" w:eastAsia="仿宋_GB2312"/>
          <w:sz w:val="32"/>
          <w:szCs w:val="32"/>
          <w:lang w:val="en-US" w:eastAsia="zh-CN"/>
        </w:rPr>
        <w:t>25</w:t>
      </w:r>
      <w:r>
        <w:rPr>
          <w:rFonts w:ascii="仿宋_GB2312" w:eastAsia="仿宋_GB2312"/>
          <w:sz w:val="32"/>
          <w:szCs w:val="32"/>
        </w:rPr>
        <w:t>个、未完成项目0个，项目总体完成率为100%，各项目支出管理过程较为规范，预期绩效目标完成情况良好。通过本次自评全面总结了项目实施过程中的经验及不足，为2019年度预算绩效管理工作开展奠定基础。</w:t>
      </w:r>
      <w:bookmarkStart w:id="92" w:name="_GoBack"/>
      <w:bookmarkEnd w:id="92"/>
    </w:p>
    <w:p>
      <w:pPr>
        <w:spacing w:line="540" w:lineRule="exact"/>
        <w:ind w:left="-1" w:right="-1" w:firstLine="646"/>
        <w:jc w:val="left"/>
      </w:pPr>
      <w:r>
        <w:rPr>
          <w:rFonts w:ascii="仿宋_GB2312" w:hAnsi="仿宋_GB2312" w:eastAsia="仿宋_GB2312" w:cs="仿宋_GB2312"/>
          <w:color w:val="000000"/>
          <w:sz w:val="32"/>
        </w:rPr>
        <w:t>1、色提力乡服务中心建设项目绩效自评综述：根据年初设定的绩效目标，该项目绩效自评得分为100分。项目全年预算数为167.9万元，执行数为167.9万元，完成预算的100%。主要产出和效果：为村民生活提供便利，改善人居环境，提高村民生活质量。发现的问题及原因：内容不够丰富。下一步改进措施： 进一步加强建设内容。</w:t>
      </w:r>
    </w:p>
    <w:p>
      <w:pPr>
        <w:spacing w:line="540" w:lineRule="exact"/>
        <w:ind w:left="-1" w:right="-1" w:firstLine="646"/>
        <w:jc w:val="left"/>
      </w:pPr>
      <w:r>
        <w:rPr>
          <w:rFonts w:ascii="仿宋_GB2312" w:hAnsi="仿宋_GB2312" w:eastAsia="仿宋_GB2312" w:cs="仿宋_GB2312"/>
          <w:color w:val="000000"/>
          <w:sz w:val="32"/>
        </w:rPr>
        <w:t>2、2018年农村合作社手工业配套项目绩效自评综述：根据年初设定的绩效目标，该项目绩效自评得分为80分。项目全年预算数为10.65万元，执行数为10.65万元，完成预算的100%。主要产出和效果：为合作社正常运转提供有效保障，提高合作社成员积极性，带动贫困户就业。发现的问题及原因：工作人员积极性不够，原因是业务量较少，产生的效益较差。下一步改进措施： 加强合作社经营管理技能培训，提高合作社成员经营管理能力。</w:t>
      </w:r>
    </w:p>
    <w:p>
      <w:pPr>
        <w:spacing w:line="540" w:lineRule="exact"/>
        <w:ind w:left="-1" w:right="-1" w:firstLine="646"/>
        <w:jc w:val="left"/>
      </w:pPr>
      <w:r>
        <w:rPr>
          <w:rFonts w:ascii="仿宋_GB2312" w:hAnsi="仿宋_GB2312" w:eastAsia="仿宋_GB2312" w:cs="仿宋_GB2312"/>
          <w:color w:val="000000"/>
          <w:sz w:val="32"/>
        </w:rPr>
        <w:t>3、人社局2018年就业补助项目绩效自评综述：根据年初设定的绩效目标，该项目绩效自评得分为90分。项目全年预算数为67.7万元，执行数为67.7万元，完成预算的100%。主要产出和效果：鼓励贫困户就业，增加农民收入。发现的问题及原因：个人主动性还不够高。下一步改进措施： 加大对农民的宣传指导。</w:t>
      </w:r>
    </w:p>
    <w:p>
      <w:pPr>
        <w:spacing w:line="540" w:lineRule="exact"/>
        <w:ind w:left="-1" w:right="-1" w:firstLine="646"/>
        <w:jc w:val="left"/>
      </w:pPr>
      <w:r>
        <w:rPr>
          <w:rFonts w:ascii="仿宋_GB2312" w:hAnsi="仿宋_GB2312" w:eastAsia="仿宋_GB2312" w:cs="仿宋_GB2312"/>
          <w:color w:val="000000"/>
          <w:sz w:val="32"/>
        </w:rPr>
        <w:t>4、色提力乡小商铺项目绩效自评综述：根据年初设定的绩效目标，该项目绩效自评得分为90分。项目全年预算数为180万元，执行数为180万元，完成预算的100%。主要产出和效果：可完善村基础设施建设，可提供给贫困户使用，可带动贫困户增收，为群众生活提供便利条件，提高农村基层公共服务水平。发现的问题及原因：尚未发现问题。下一步改进措施： 进一步完善工作机制，更好的为人民服务。</w:t>
      </w:r>
    </w:p>
    <w:p>
      <w:pPr>
        <w:spacing w:line="540" w:lineRule="exact"/>
        <w:ind w:left="-1" w:right="-1" w:firstLine="646"/>
        <w:jc w:val="left"/>
      </w:pPr>
      <w:r>
        <w:rPr>
          <w:rFonts w:ascii="仿宋_GB2312" w:hAnsi="仿宋_GB2312" w:eastAsia="仿宋_GB2312" w:cs="仿宋_GB2312"/>
          <w:color w:val="000000"/>
          <w:sz w:val="32"/>
        </w:rPr>
        <w:t>5、色提力乡安居富民房建设项目绩效自评综述：根据年初设定的绩效目标，该项目绩效自评得分为91分。项目全年预算数为416.42万元，执行数为416.42万元，完成预算的100%。主要产出和效果：为群众提供安全舒适的住房提供有效保障，提高群众的居住条件。发现的问题及原因：入住率尚未达到全覆盖。下一步改进措施： 加强宣传引导。</w:t>
      </w:r>
    </w:p>
    <w:p>
      <w:pPr>
        <w:spacing w:line="540" w:lineRule="exact"/>
        <w:ind w:left="-1" w:right="-1" w:firstLine="646"/>
        <w:jc w:val="left"/>
      </w:pPr>
      <w:r>
        <w:rPr>
          <w:rFonts w:ascii="仿宋_GB2312" w:hAnsi="仿宋_GB2312" w:eastAsia="仿宋_GB2312" w:cs="仿宋_GB2312"/>
          <w:color w:val="000000"/>
          <w:sz w:val="32"/>
        </w:rPr>
        <w:t>6、英吉沙县色提力乡村干部工资项目绩效自评综述：根据年初设定的绩效目标，该项目绩效自评得分为100分。项目全年预算数为7.8万元，执行数为7.8万元，完成预算的100%。主要产出和效果：提高村干部工作积极性，促进村级工作更好开展。发现的问题及原因：个别村干部能力不足，业务水平不高。下一步改进措施： 加强培训，提高业务水平。</w:t>
      </w:r>
    </w:p>
    <w:p>
      <w:pPr>
        <w:spacing w:line="540" w:lineRule="exact"/>
        <w:ind w:left="-1" w:right="-1" w:firstLine="646"/>
        <w:jc w:val="left"/>
      </w:pPr>
      <w:r>
        <w:rPr>
          <w:rFonts w:ascii="仿宋_GB2312" w:hAnsi="仿宋_GB2312" w:eastAsia="仿宋_GB2312" w:cs="仿宋_GB2312"/>
          <w:color w:val="000000"/>
          <w:sz w:val="32"/>
        </w:rPr>
        <w:t>7、2018年农村基础设施建设项目绩效自评综述：根据年初设定的绩效目标，该项目绩效自评得分为98分。项目全年预算数为1,319万元，执行数为1,319万元，完成预算的100%。主要产出和效果：该项目资金我乡主要使用在进一步确保基层阵地建设进一步规范，服务群众能力得到进一步提升，加大投入力度，改善办公环境。该项目资金的实施确保了我乡改善干部工作生活环境，服务群众能力得到进一步提升。项目实施以来各有关方尽心履职，通力合作，不断提升了干部服务群众意识以及工作作风。总体上，较好的实现了项目的战略目标和工作目标，自评为优秀。发现的问题及原因：要对项目实施及时组织验收，加强质保管控。下一步改进措施： 该项经费的实施极大的提高了工作效率，缓解了我乡经费压力，今后我乡仍将继续加强资金监管工作，严格资金审批手续。</w:t>
      </w:r>
    </w:p>
    <w:p>
      <w:pPr>
        <w:spacing w:line="540" w:lineRule="exact"/>
        <w:ind w:left="-1" w:right="-1" w:firstLine="646"/>
        <w:jc w:val="left"/>
      </w:pPr>
      <w:r>
        <w:rPr>
          <w:rFonts w:ascii="仿宋_GB2312" w:hAnsi="仿宋_GB2312" w:eastAsia="仿宋_GB2312" w:cs="仿宋_GB2312"/>
          <w:color w:val="000000"/>
          <w:sz w:val="32"/>
        </w:rPr>
        <w:t>8、</w:t>
      </w:r>
      <w:r>
        <w:rPr>
          <w:rFonts w:hint="eastAsia" w:ascii="仿宋_GB2312" w:hAnsi="仿宋_GB2312" w:eastAsia="仿宋_GB2312" w:cs="仿宋_GB2312"/>
          <w:color w:val="000000"/>
          <w:sz w:val="32"/>
        </w:rPr>
        <w:t>工作组</w:t>
      </w:r>
      <w:r>
        <w:rPr>
          <w:rFonts w:ascii="仿宋_GB2312" w:hAnsi="仿宋_GB2312" w:eastAsia="仿宋_GB2312" w:cs="仿宋_GB2312"/>
          <w:color w:val="000000"/>
          <w:sz w:val="32"/>
        </w:rPr>
        <w:t>工作组生活补助项目绩效自评综述：根据年初设定的绩效目标，该项目绩效自评得分为90分。项目全年预算数为2.1万元，执行数为2.1万元，完成预算的100%。主要产出和效果：加强</w:t>
      </w:r>
      <w:r>
        <w:rPr>
          <w:rFonts w:hint="eastAsia" w:ascii="仿宋_GB2312" w:hAnsi="仿宋_GB2312" w:eastAsia="仿宋_GB2312" w:cs="仿宋_GB2312"/>
          <w:color w:val="000000"/>
          <w:sz w:val="32"/>
        </w:rPr>
        <w:t>各项</w:t>
      </w:r>
      <w:r>
        <w:rPr>
          <w:rFonts w:ascii="仿宋_GB2312" w:hAnsi="仿宋_GB2312" w:eastAsia="仿宋_GB2312" w:cs="仿宋_GB2312"/>
          <w:color w:val="000000"/>
          <w:sz w:val="32"/>
        </w:rPr>
        <w:t>工作,关注基层民生问题,解决群众困难诉求。发现的问题及原因：尚未发现问题。下一步改进措施： 进一步完善工作机制，更好的为人民服务。</w:t>
      </w:r>
    </w:p>
    <w:p>
      <w:pPr>
        <w:spacing w:line="540" w:lineRule="exact"/>
        <w:ind w:left="-1" w:right="-1" w:firstLine="646"/>
        <w:jc w:val="left"/>
      </w:pPr>
      <w:r>
        <w:rPr>
          <w:rFonts w:ascii="仿宋_GB2312" w:hAnsi="仿宋_GB2312" w:eastAsia="仿宋_GB2312" w:cs="仿宋_GB2312"/>
          <w:color w:val="000000"/>
          <w:sz w:val="32"/>
        </w:rPr>
        <w:t>9、2018年庭院经济补助项目绩效自评综述：根据年初设定的绩效目标，该项目绩效自评得分为98分。项目全年预算数为576.2万元，执行数为576.2万元，完成预算的100%。主要产出和效果：引导农户拆除危旧房，配套改造厨房，厕所，合理规范庭院，治理乱堆乱放，确保庭院干净整洁，推进农村新型化建设。发现的问题及原因：个人主动性还不够高。下一步改进措施： 加大对农民的宣传指导。</w:t>
      </w:r>
    </w:p>
    <w:p>
      <w:pPr>
        <w:spacing w:line="540" w:lineRule="exact"/>
        <w:ind w:left="-1" w:right="-1" w:firstLine="646"/>
        <w:jc w:val="left"/>
      </w:pPr>
      <w:r>
        <w:rPr>
          <w:rFonts w:ascii="仿宋_GB2312" w:hAnsi="仿宋_GB2312" w:eastAsia="仿宋_GB2312" w:cs="仿宋_GB2312"/>
          <w:color w:val="000000"/>
          <w:sz w:val="32"/>
        </w:rPr>
        <w:t>10、林果业合作社奖补资金项目绩效自评综述：根据年初设定的绩效目标，该项目绩效自评得分为98分。项目全年预算数为13万元，执行数为13万元，完成预算的100%。主要产出和效果：为合作社正常运转提供有效保障，提高合作社成员积极性，带动贫困户就业。发现的问题及原因：工作人员积极性不够，原因是业务量较少，产生的效益较差。下一步改进措施： 加强合作社经营管理技能培训，提高合作社成员经营管理能力。</w:t>
      </w:r>
    </w:p>
    <w:p>
      <w:pPr>
        <w:spacing w:line="540" w:lineRule="exact"/>
        <w:ind w:left="-1" w:right="-1" w:firstLine="646"/>
        <w:jc w:val="left"/>
      </w:pPr>
      <w:r>
        <w:rPr>
          <w:rFonts w:ascii="仿宋_GB2312" w:hAnsi="仿宋_GB2312" w:eastAsia="仿宋_GB2312" w:cs="仿宋_GB2312"/>
          <w:color w:val="000000"/>
          <w:sz w:val="32"/>
        </w:rPr>
        <w:t>11、合作社建设项目绩效自评综述：根据年初设定的绩效目标，该项目绩效自评得分为92分。项目全年预算数为18.5万元，执行数为18.5万元，完成预算的100%。主要产出和效果：为合作社正常运转提供有效保障，提高合作社成员积极性，带动贫困户就业。发现的问题及原因：工作人员积极性不够，原因是业务量较少，产生的效益较差。下一步改进措施： 加强合作社经营管理技能培训，提高合作社成员经营管理能力。</w:t>
      </w:r>
    </w:p>
    <w:p>
      <w:pPr>
        <w:spacing w:line="540" w:lineRule="exact"/>
        <w:ind w:left="-1" w:right="-1" w:firstLine="646"/>
        <w:jc w:val="left"/>
      </w:pPr>
      <w:r>
        <w:rPr>
          <w:rFonts w:ascii="仿宋_GB2312" w:hAnsi="仿宋_GB2312" w:eastAsia="仿宋_GB2312" w:cs="仿宋_GB2312"/>
          <w:color w:val="000000"/>
          <w:sz w:val="32"/>
        </w:rPr>
        <w:t>12、色提力乡干部补助项目绩效自评综述：根据年初设定的绩效目标，该项目绩效自评得分为90分。项目全年预算数为11.52万元，执行数为11.52万元，完成预算的100%。主要产出和效果：加强</w:t>
      </w:r>
      <w:r>
        <w:rPr>
          <w:rFonts w:hint="eastAsia" w:ascii="仿宋_GB2312" w:hAnsi="仿宋_GB2312" w:eastAsia="仿宋_GB2312" w:cs="仿宋_GB2312"/>
          <w:color w:val="000000"/>
          <w:sz w:val="32"/>
        </w:rPr>
        <w:t>各项</w:t>
      </w:r>
      <w:r>
        <w:rPr>
          <w:rFonts w:ascii="仿宋_GB2312" w:hAnsi="仿宋_GB2312" w:eastAsia="仿宋_GB2312" w:cs="仿宋_GB2312"/>
          <w:color w:val="000000"/>
          <w:sz w:val="32"/>
        </w:rPr>
        <w:t>工作，统战工作,关注基层民生问题,解决群众困难诉求。发现的问题及原因：尚未发现问题。下一步改进措施： 进一步完善工作机制，更好的为人民服务。</w:t>
      </w:r>
    </w:p>
    <w:p>
      <w:pPr>
        <w:spacing w:line="540" w:lineRule="exact"/>
        <w:ind w:left="-1" w:right="-1" w:firstLine="646"/>
        <w:jc w:val="left"/>
      </w:pPr>
      <w:r>
        <w:rPr>
          <w:rFonts w:ascii="仿宋_GB2312" w:hAnsi="仿宋_GB2312" w:eastAsia="仿宋_GB2312" w:cs="仿宋_GB2312"/>
          <w:color w:val="000000"/>
          <w:sz w:val="32"/>
        </w:rPr>
        <w:t>1</w:t>
      </w:r>
      <w:r>
        <w:rPr>
          <w:rFonts w:hint="eastAsia" w:ascii="仿宋_GB2312" w:hAnsi="仿宋_GB2312" w:eastAsia="仿宋_GB2312" w:cs="仿宋_GB2312"/>
          <w:color w:val="000000"/>
          <w:sz w:val="32"/>
        </w:rPr>
        <w:t>3</w:t>
      </w:r>
      <w:r>
        <w:rPr>
          <w:rFonts w:ascii="仿宋_GB2312" w:hAnsi="仿宋_GB2312" w:eastAsia="仿宋_GB2312" w:cs="仿宋_GB2312"/>
          <w:color w:val="000000"/>
          <w:sz w:val="32"/>
        </w:rPr>
        <w:t>、贫困村整治（林果种植）项目绩效自评综述：根据年初设定的绩效目标，该项目绩效自评得分为95分。项目全年预算数为0.49万元，执行数为0.49万元，完成预算的100%。主要产出和效果：在尊重贫困户意愿下，根据贫困户实际情况实施果树种植，主要种植杏子、西梅、桃树等。发现的问题及原因：尚未发现问题。下一步改进措施： 进一步完善工作机制，更好的为人民服务。</w:t>
      </w:r>
    </w:p>
    <w:p>
      <w:pPr>
        <w:spacing w:line="540" w:lineRule="exact"/>
        <w:ind w:left="-1" w:right="-1" w:firstLine="646"/>
        <w:jc w:val="left"/>
      </w:pPr>
      <w:r>
        <w:rPr>
          <w:rFonts w:ascii="仿宋_GB2312" w:hAnsi="仿宋_GB2312" w:eastAsia="仿宋_GB2312" w:cs="仿宋_GB2312"/>
          <w:color w:val="000000"/>
          <w:sz w:val="32"/>
        </w:rPr>
        <w:t>1</w:t>
      </w:r>
      <w:r>
        <w:rPr>
          <w:rFonts w:hint="eastAsia" w:ascii="仿宋_GB2312" w:hAnsi="仿宋_GB2312" w:eastAsia="仿宋_GB2312" w:cs="仿宋_GB2312"/>
          <w:color w:val="000000"/>
          <w:sz w:val="32"/>
        </w:rPr>
        <w:t>4</w:t>
      </w:r>
      <w:r>
        <w:rPr>
          <w:rFonts w:ascii="仿宋_GB2312" w:hAnsi="仿宋_GB2312" w:eastAsia="仿宋_GB2312" w:cs="仿宋_GB2312"/>
          <w:color w:val="000000"/>
          <w:sz w:val="32"/>
        </w:rPr>
        <w:t>、色提力乡2018年贫困户创业补助项目绩效自评综述：根据年初设定的绩效目标，该项目绩效自评得分为95分。项目全年预算数为192万元，执行数为192万元，完成预算的100%。主要产出和效果：充分尊重贫困群众意见，在本人自愿、个人申请、村级党工委审批、公示公告无异议的基础上，组织实施自主创业项目，增加收入，带动贫困户增收。发现的问题及原因：个人主动性还不够高。下一步改进措施： 加大对农民的宣传指导。</w:t>
      </w:r>
    </w:p>
    <w:p>
      <w:pPr>
        <w:spacing w:line="540" w:lineRule="exact"/>
        <w:ind w:left="-1" w:right="-1" w:firstLine="646"/>
        <w:jc w:val="left"/>
      </w:pPr>
      <w:r>
        <w:rPr>
          <w:rFonts w:ascii="仿宋_GB2312" w:hAnsi="仿宋_GB2312" w:eastAsia="仿宋_GB2312" w:cs="仿宋_GB2312"/>
          <w:color w:val="000000"/>
          <w:sz w:val="32"/>
        </w:rPr>
        <w:t>1</w:t>
      </w:r>
      <w:r>
        <w:rPr>
          <w:rFonts w:hint="eastAsia" w:ascii="仿宋_GB2312" w:hAnsi="仿宋_GB2312" w:eastAsia="仿宋_GB2312" w:cs="仿宋_GB2312"/>
          <w:color w:val="000000"/>
          <w:sz w:val="32"/>
        </w:rPr>
        <w:t>5</w:t>
      </w:r>
      <w:r>
        <w:rPr>
          <w:rFonts w:ascii="仿宋_GB2312" w:hAnsi="仿宋_GB2312" w:eastAsia="仿宋_GB2312" w:cs="仿宋_GB2312"/>
          <w:color w:val="000000"/>
          <w:sz w:val="32"/>
        </w:rPr>
        <w:t>、贫困户育苗补贴项目绩效自评综述：根据年初设定的绩效目标，该项目绩效自评得分为98分。项目全年预算数为7.05万元，执行数为7.05万元，完成预算的100%。主要产出和效果：在尊重贫困户意愿下，根据贫困户实际情况实施果树种植，主要种植杏子、西梅、桃树等。发现的问题及原因：尚未发现问题。下一步改进措施： 进一步完善工作机制，更好的为人民服务。</w:t>
      </w:r>
    </w:p>
    <w:p>
      <w:pPr>
        <w:spacing w:line="540" w:lineRule="exact"/>
        <w:ind w:left="-1" w:right="-1" w:firstLine="646"/>
        <w:jc w:val="left"/>
      </w:pPr>
      <w:r>
        <w:rPr>
          <w:rFonts w:ascii="仿宋_GB2312" w:hAnsi="仿宋_GB2312" w:eastAsia="仿宋_GB2312" w:cs="仿宋_GB2312"/>
          <w:color w:val="000000"/>
          <w:sz w:val="32"/>
        </w:rPr>
        <w:t>1</w:t>
      </w:r>
      <w:r>
        <w:rPr>
          <w:rFonts w:hint="eastAsia" w:ascii="仿宋_GB2312" w:hAnsi="仿宋_GB2312" w:eastAsia="仿宋_GB2312" w:cs="仿宋_GB2312"/>
          <w:color w:val="000000"/>
          <w:sz w:val="32"/>
        </w:rPr>
        <w:t>6</w:t>
      </w:r>
      <w:r>
        <w:rPr>
          <w:rFonts w:ascii="仿宋_GB2312" w:hAnsi="仿宋_GB2312" w:eastAsia="仿宋_GB2312" w:cs="仿宋_GB2312"/>
          <w:color w:val="000000"/>
          <w:sz w:val="32"/>
        </w:rPr>
        <w:t>、色提力乡老人福利项目绩效自评综述：根据年初设定的绩效目标，该项目绩效自评得分为100分。项目全年预算数为2.36万元，执行数为2.36万元，完成预算的100%。主要产出和效果：保障老年人基本生活需求，促进老年人的社会保障要求发现的问题及原因：尚未发现问题。下一步改进措施： 进一步完善工作机制，更好的为人民服务。</w:t>
      </w:r>
    </w:p>
    <w:p>
      <w:pPr>
        <w:spacing w:line="540" w:lineRule="exact"/>
        <w:ind w:left="-1" w:right="-1" w:firstLine="646"/>
        <w:jc w:val="left"/>
      </w:pPr>
      <w:r>
        <w:rPr>
          <w:rFonts w:ascii="仿宋_GB2312" w:hAnsi="仿宋_GB2312" w:eastAsia="仿宋_GB2312" w:cs="仿宋_GB2312"/>
          <w:color w:val="000000"/>
          <w:sz w:val="32"/>
        </w:rPr>
        <w:t>1</w:t>
      </w:r>
      <w:r>
        <w:rPr>
          <w:rFonts w:hint="eastAsia" w:ascii="仿宋_GB2312" w:hAnsi="仿宋_GB2312" w:eastAsia="仿宋_GB2312" w:cs="仿宋_GB2312"/>
          <w:color w:val="000000"/>
          <w:sz w:val="32"/>
        </w:rPr>
        <w:t>7</w:t>
      </w:r>
      <w:r>
        <w:rPr>
          <w:rFonts w:ascii="仿宋_GB2312" w:hAnsi="仿宋_GB2312" w:eastAsia="仿宋_GB2312" w:cs="仿宋_GB2312"/>
          <w:color w:val="000000"/>
          <w:sz w:val="32"/>
        </w:rPr>
        <w:t>、2018年美容美发补助项目绩效自评综述：根据年初设定的绩效目标，该项目绩效自评得分为100分。项目全年预算数为10万元，执行数为10万元，完成预算的100%。主要产出和效果：充分尊重贫困群众意见，在本人自愿、个人申请、村级党工委审批、公示公告无异议的基础上，，增加收入，带动贫困户增收。发现的问题及原因：个人主动性还不够高。下一步改进措施： 加大对农民的宣传指导。</w:t>
      </w:r>
    </w:p>
    <w:p>
      <w:pPr>
        <w:spacing w:line="540" w:lineRule="exact"/>
        <w:ind w:left="-1" w:right="-1" w:firstLine="646"/>
        <w:jc w:val="left"/>
      </w:pPr>
      <w:r>
        <w:rPr>
          <w:rFonts w:hint="eastAsia" w:ascii="仿宋_GB2312" w:hAnsi="仿宋_GB2312" w:eastAsia="仿宋_GB2312" w:cs="仿宋_GB2312"/>
          <w:color w:val="000000"/>
          <w:sz w:val="32"/>
        </w:rPr>
        <w:t>18</w:t>
      </w:r>
      <w:r>
        <w:rPr>
          <w:rFonts w:ascii="仿宋_GB2312" w:hAnsi="仿宋_GB2312" w:eastAsia="仿宋_GB2312" w:cs="仿宋_GB2312"/>
          <w:color w:val="000000"/>
          <w:sz w:val="32"/>
        </w:rPr>
        <w:t>、色提力乡特困人员生活补助项目绩效自评综述：根据年初设定的绩效目标，该项目绩效自评得分为92分。项目全年预算数为3.44万元，执行数为3.44万元，完成预算的100%。主要产出和效果：保障特困人员基本生活需求，促进特困人员的社会保障要求。发现的问题及原因：尚未发现问题。下一步改进措施： 进一步完善工作机制，更好的为人民服务。</w:t>
      </w:r>
    </w:p>
    <w:p>
      <w:pPr>
        <w:spacing w:line="540" w:lineRule="exact"/>
        <w:ind w:left="-1" w:right="-1" w:firstLine="646"/>
        <w:jc w:val="left"/>
      </w:pPr>
      <w:r>
        <w:rPr>
          <w:rFonts w:hint="eastAsia" w:ascii="仿宋_GB2312" w:hAnsi="仿宋_GB2312" w:eastAsia="仿宋_GB2312" w:cs="仿宋_GB2312"/>
          <w:color w:val="000000"/>
          <w:sz w:val="32"/>
        </w:rPr>
        <w:t>19</w:t>
      </w:r>
      <w:r>
        <w:rPr>
          <w:rFonts w:ascii="仿宋_GB2312" w:hAnsi="仿宋_GB2312" w:eastAsia="仿宋_GB2312" w:cs="仿宋_GB2312"/>
          <w:color w:val="000000"/>
          <w:sz w:val="32"/>
        </w:rPr>
        <w:t>、活动场所国旗杆子项目绩效自评综述：根据年初设定的绩效目标，该项目绩效自评得分为95分。项目全年预算数为1万元，执行数为1万元，完成预算的100%。主要产出和效果：该项目资金我乡主要使用在安装3个国旗杆，增进广大农民群众的爱国主义情感。项目实施以来各有关方尽心履职，通力合作，不断提升了干部服务群众意识以及工作作风。总体上，较好的实现了项目的战略目标和工作目标，自评为优秀。发现的问题及原因：要对项目实施及时组织验收，加强质保管控。下一步改进措施： 切实做好厉行节约工作，全面落实各项管理制度要求，努力降低行政成本。</w:t>
      </w:r>
    </w:p>
    <w:p>
      <w:pPr>
        <w:spacing w:line="540" w:lineRule="exact"/>
        <w:ind w:left="-1" w:right="-1" w:firstLine="646"/>
        <w:jc w:val="left"/>
      </w:pPr>
      <w:r>
        <w:rPr>
          <w:rFonts w:ascii="仿宋_GB2312" w:hAnsi="仿宋_GB2312" w:eastAsia="仿宋_GB2312" w:cs="仿宋_GB2312"/>
          <w:color w:val="000000"/>
          <w:sz w:val="32"/>
        </w:rPr>
        <w:t>2</w:t>
      </w:r>
      <w:r>
        <w:rPr>
          <w:rFonts w:hint="eastAsia" w:ascii="仿宋_GB2312" w:hAnsi="仿宋_GB2312" w:eastAsia="仿宋_GB2312" w:cs="仿宋_GB2312"/>
          <w:color w:val="000000"/>
          <w:sz w:val="32"/>
        </w:rPr>
        <w:t>0</w:t>
      </w:r>
      <w:r>
        <w:rPr>
          <w:rFonts w:ascii="仿宋_GB2312" w:hAnsi="仿宋_GB2312" w:eastAsia="仿宋_GB2312" w:cs="仿宋_GB2312"/>
          <w:color w:val="000000"/>
          <w:sz w:val="32"/>
        </w:rPr>
        <w:t>、色提力乡民政人员工资项目绩效自评综述：根据年初设定的绩效目标，该项目绩效自评得分为100分。项目全年预算数为8.06万元，执行数为8.06万元，完成预算的100%。主要产出和效果：为各类困难群众提供基本保障，达到暖民心、促民生的效果。发现的问题及原因：尚未发现问题。下一步改进措施： 进一步完善工作机制，更好的为人民服务。</w:t>
      </w:r>
    </w:p>
    <w:p>
      <w:pPr>
        <w:spacing w:line="540" w:lineRule="exact"/>
        <w:ind w:left="-1" w:right="-1" w:firstLine="646"/>
        <w:jc w:val="left"/>
      </w:pPr>
      <w:r>
        <w:rPr>
          <w:rFonts w:ascii="仿宋_GB2312" w:hAnsi="仿宋_GB2312" w:eastAsia="仿宋_GB2312" w:cs="仿宋_GB2312"/>
          <w:color w:val="000000"/>
          <w:sz w:val="32"/>
        </w:rPr>
        <w:t>2</w:t>
      </w:r>
      <w:r>
        <w:rPr>
          <w:rFonts w:hint="eastAsia" w:ascii="仿宋_GB2312" w:hAnsi="仿宋_GB2312" w:eastAsia="仿宋_GB2312" w:cs="仿宋_GB2312"/>
          <w:color w:val="000000"/>
          <w:sz w:val="32"/>
        </w:rPr>
        <w:t>1</w:t>
      </w:r>
      <w:r>
        <w:rPr>
          <w:rFonts w:ascii="仿宋_GB2312" w:hAnsi="仿宋_GB2312" w:eastAsia="仿宋_GB2312" w:cs="仿宋_GB2312"/>
          <w:color w:val="000000"/>
          <w:sz w:val="32"/>
        </w:rPr>
        <w:t>、色提力乡残疾人专项项目绩效自评综述：根据年初设定的绩效目标，该项目绩效自评得分为100分。项目全年预算数为1.44万元，执行数为1.44万元，完成预算的100%。主要产出和效果：保障残疾人基本生活需求，促进后代人的社会保障要求。发现的问题及原因：尚未发现问题。下一步改进措施： 进一步完善工作机制，更好的为人民服务。</w:t>
      </w:r>
    </w:p>
    <w:p>
      <w:pPr>
        <w:spacing w:line="540" w:lineRule="exact"/>
        <w:ind w:left="-1" w:right="-1" w:firstLine="646"/>
        <w:jc w:val="left"/>
      </w:pPr>
      <w:r>
        <w:rPr>
          <w:rFonts w:ascii="仿宋_GB2312" w:hAnsi="仿宋_GB2312" w:eastAsia="仿宋_GB2312" w:cs="仿宋_GB2312"/>
          <w:color w:val="000000"/>
          <w:sz w:val="32"/>
        </w:rPr>
        <w:t>2</w:t>
      </w:r>
      <w:r>
        <w:rPr>
          <w:rFonts w:hint="eastAsia" w:ascii="仿宋_GB2312" w:hAnsi="仿宋_GB2312" w:eastAsia="仿宋_GB2312" w:cs="仿宋_GB2312"/>
          <w:color w:val="000000"/>
          <w:sz w:val="32"/>
        </w:rPr>
        <w:t>2</w:t>
      </w:r>
      <w:r>
        <w:rPr>
          <w:rFonts w:ascii="仿宋_GB2312" w:hAnsi="仿宋_GB2312" w:eastAsia="仿宋_GB2312" w:cs="仿宋_GB2312"/>
          <w:color w:val="000000"/>
          <w:sz w:val="32"/>
        </w:rPr>
        <w:t>、英吉沙县色提力乡棚圈项目绩效自评综述：根据年初设定的绩效目标，该项目绩效自评得分为82分。项目全年预算数为19.25万元，执行数为19.25万元，完成预算的100%。主要产出和效果：保障特困人员基本生活需求，促进特困人员的社会保障要求。发现的问题及原因：尚未发现问题。下一步改进措施： 进一步完善工作机制，更好的为人民服务。</w:t>
      </w:r>
    </w:p>
    <w:p>
      <w:pPr>
        <w:spacing w:line="540" w:lineRule="exact"/>
        <w:ind w:left="-1" w:right="-1" w:firstLine="646"/>
        <w:jc w:val="left"/>
      </w:pPr>
      <w:r>
        <w:rPr>
          <w:rFonts w:ascii="仿宋_GB2312" w:hAnsi="仿宋_GB2312" w:eastAsia="仿宋_GB2312" w:cs="仿宋_GB2312"/>
          <w:color w:val="000000"/>
          <w:sz w:val="32"/>
        </w:rPr>
        <w:t>2</w:t>
      </w:r>
      <w:r>
        <w:rPr>
          <w:rFonts w:hint="eastAsia" w:ascii="仿宋_GB2312" w:hAnsi="仿宋_GB2312" w:eastAsia="仿宋_GB2312" w:cs="仿宋_GB2312"/>
          <w:color w:val="000000"/>
          <w:sz w:val="32"/>
        </w:rPr>
        <w:t>3</w:t>
      </w:r>
      <w:r>
        <w:rPr>
          <w:rFonts w:ascii="仿宋_GB2312" w:hAnsi="仿宋_GB2312" w:eastAsia="仿宋_GB2312" w:cs="仿宋_GB2312"/>
          <w:color w:val="000000"/>
          <w:sz w:val="32"/>
        </w:rPr>
        <w:t>、林果业提质增效项目绩效自评综述：根据年初设定的绩效目标，该项目绩效自评得分为92分。项目全年预算数为80.18万元，执行数为80.18万元，完成预算的100%。主要产出和效果：在尊重贫困户意愿下，根据贫困实际情况实施果树种植，主要种植杏子、西梅、桃树等。发现的问题及原因：尚未发现问题。下一步改进措施： 进一步完善工作机制，更好的为人民服务。</w:t>
      </w:r>
    </w:p>
    <w:p>
      <w:pPr>
        <w:spacing w:line="540" w:lineRule="exact"/>
        <w:ind w:left="-1" w:right="-1" w:firstLine="646"/>
        <w:jc w:val="left"/>
      </w:pPr>
      <w:r>
        <w:rPr>
          <w:rFonts w:ascii="仿宋_GB2312" w:hAnsi="仿宋_GB2312" w:eastAsia="仿宋_GB2312" w:cs="仿宋_GB2312"/>
          <w:color w:val="000000"/>
          <w:sz w:val="32"/>
        </w:rPr>
        <w:t>2</w:t>
      </w:r>
      <w:r>
        <w:rPr>
          <w:rFonts w:hint="eastAsia" w:ascii="仿宋_GB2312" w:hAnsi="仿宋_GB2312" w:eastAsia="仿宋_GB2312" w:cs="仿宋_GB2312"/>
          <w:color w:val="000000"/>
          <w:sz w:val="32"/>
        </w:rPr>
        <w:t>4</w:t>
      </w:r>
      <w:r>
        <w:rPr>
          <w:rFonts w:ascii="仿宋_GB2312" w:hAnsi="仿宋_GB2312" w:eastAsia="仿宋_GB2312" w:cs="仿宋_GB2312"/>
          <w:color w:val="000000"/>
          <w:sz w:val="32"/>
        </w:rPr>
        <w:t>、冬季病虫害防治及林果管理机械项目绩效自评综述：根据年初设定的绩效目标，该项目绩效自评得分为93分。项目全年预算数为34.88万元，执行数为34.88万元，完成预算的100%。主要产出和效果：根据贫困户林果的实际情况实施果树打药，实现有效病虫害防治工作。发现的问题及原因：尚未发现问题。下一步改进措施： 进一步完善工作机制，更好的为人民服务。</w:t>
      </w:r>
    </w:p>
    <w:p>
      <w:pPr>
        <w:spacing w:line="540" w:lineRule="exact"/>
        <w:ind w:left="-1" w:right="-1" w:firstLine="646"/>
        <w:jc w:val="left"/>
      </w:pPr>
      <w:r>
        <w:rPr>
          <w:rFonts w:ascii="仿宋_GB2312" w:hAnsi="仿宋_GB2312" w:eastAsia="仿宋_GB2312" w:cs="仿宋_GB2312"/>
          <w:color w:val="000000"/>
          <w:sz w:val="32"/>
        </w:rPr>
        <w:t>2</w:t>
      </w:r>
      <w:r>
        <w:rPr>
          <w:rFonts w:hint="eastAsia" w:ascii="仿宋_GB2312" w:hAnsi="仿宋_GB2312" w:eastAsia="仿宋_GB2312" w:cs="仿宋_GB2312"/>
          <w:color w:val="000000"/>
          <w:sz w:val="32"/>
        </w:rPr>
        <w:t>5</w:t>
      </w:r>
      <w:r>
        <w:rPr>
          <w:rFonts w:ascii="仿宋_GB2312" w:hAnsi="仿宋_GB2312" w:eastAsia="仿宋_GB2312" w:cs="仿宋_GB2312"/>
          <w:color w:val="000000"/>
          <w:sz w:val="32"/>
        </w:rPr>
        <w:t>、英吉沙县2018年农业资源及生态保护补助项目绩效自评综述：根据年初设定的绩效目标，该项目绩效自评得分为94分。项目全年预算数为21万元，执行数为21万元，完成预算的100%。主要产出和效果：保障资源生态，促进后代人的生活要求。发现的问题及原因：尚未发现问题。下一步改进措施： 进一步完善工作机制，更好的农业资源生态环境。</w:t>
      </w: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exact"/>
        <w:ind w:firstLine="646"/>
        <w:jc w:val="left"/>
        <w:rPr>
          <w:rFonts w:ascii="仿宋_GB2312" w:eastAsia="仿宋_GB2312"/>
          <w:sz w:val="32"/>
          <w:szCs w:val="32"/>
        </w:rPr>
      </w:pPr>
      <w:r>
        <w:rPr>
          <w:rFonts w:hint="eastAsia" w:ascii="仿宋_GB2312" w:eastAsia="仿宋_GB2312"/>
          <w:sz w:val="32"/>
          <w:szCs w:val="32"/>
        </w:rPr>
        <w:t>有关项目自评情况可附项目支出绩效自评表。</w:t>
      </w:r>
    </w:p>
    <w:p>
      <w:pPr>
        <w:spacing w:line="540" w:lineRule="exact"/>
        <w:jc w:val="center"/>
        <w:rPr>
          <w:rFonts w:ascii="黑体" w:hAnsi="黑体" w:eastAsia="黑体"/>
          <w:sz w:val="32"/>
          <w:szCs w:val="32"/>
        </w:rPr>
      </w:pPr>
      <w:r>
        <w:rPr>
          <w:rFonts w:hint="eastAsia" w:ascii="黑体" w:hAnsi="黑体" w:eastAsia="黑体"/>
          <w:sz w:val="32"/>
          <w:szCs w:val="32"/>
        </w:rPr>
        <w:t>第三部分 专业名词解释</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结余分配：反映单位当年结余的分配情况。</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540" w:lineRule="exact"/>
        <w:ind w:firstLine="640" w:firstLineChars="200"/>
        <w:rPr>
          <w:rFonts w:ascii="仿宋_GB2312" w:hAnsi="Calibri" w:eastAsia="仿宋_GB2312"/>
          <w:color w:val="000000" w:themeColor="text1"/>
          <w:sz w:val="32"/>
          <w:szCs w:val="32"/>
          <w:lang w:val="en-GB"/>
        </w:rPr>
      </w:pPr>
      <w:r>
        <w:rPr>
          <w:rFonts w:hint="eastAsia" w:ascii="仿宋_GB2312" w:eastAsia="仿宋_GB2312"/>
          <w:color w:val="000000" w:themeColor="text1"/>
          <w:sz w:val="32"/>
          <w:szCs w:val="32"/>
        </w:rPr>
        <w:t>本单位支出功能分类说明</w:t>
      </w:r>
      <w:r>
        <w:rPr>
          <w:rFonts w:hint="eastAsia" w:ascii="仿宋_GB2312" w:hAnsi="Calibri" w:eastAsia="仿宋_GB2312"/>
          <w:color w:val="000000" w:themeColor="text1"/>
          <w:sz w:val="32"/>
          <w:szCs w:val="32"/>
          <w:lang w:val="en-GB"/>
        </w:rPr>
        <w:t>。</w:t>
      </w:r>
      <w:r>
        <w:rPr>
          <w:rFonts w:hint="eastAsia" w:ascii="仿宋_GB2312" w:eastAsia="仿宋_GB2312"/>
          <w:sz w:val="32"/>
          <w:szCs w:val="32"/>
        </w:rPr>
        <w:t>201（类）10（款）50（项）指：事业运行。208（类）99（款）01（项）指：其他社会保障和就业支出。213（类）01（款）35（项）指：农业资源保护修复与利用。208（类）05（款）05（项）指：机关事业单位基本养老保险缴费支出。208（类）11（款）04（项）指：残疾人康复。201（类）06（款）01（项）指：行政运行。208（类）10（款）02（项）指：老年福利。201（类）32（款）99（项）指：其他组织事务支出。201（类）11（款）99（项）指：其他纪检监察事务支出。229（类）99（款）01（项）指：其他支出。201（类）03（款）01（项）指：行政运行。201（类）34（款）99（项）指：其他统战事务支出。201（类）99（款）99（项）指：其他一般公共服务支出。213（类）02（款）04（项）指：林业事业机构。213（类）01（款）06（项）指：科技转化与推广服务。213（类）01（款）04（项）指：事业运行。213（类）05（款）05（项）指：生产发展。221（类）01（款）05（项）指：农村危房改造。221（类）02（款）01（项）指：住房公积金。213（类）05（款）04（项）指：农村基础设施建设。204（类）02（款）01（项）指：行政运行。204（类）06（款）01（项）指：行政运行。204（类）02（款）04（项）指：治安管理。208（类）02（款）02（项）指：一般行政管理事务。208（类）11（款）99（项）指：其他残疾人事业支出。220（类）01（款）01（项）指：行政运行。201（类）31（款）01（项）指：行政运行。201（类）10（款）01（项）指：行政运行。207（类）04（款）04（项）指：广播。207（类）01（款）09（项）指：群众文化。</w:t>
      </w:r>
    </w:p>
    <w:p>
      <w:pPr>
        <w:spacing w:line="540" w:lineRule="exact"/>
        <w:ind w:firstLine="640" w:firstLineChars="200"/>
        <w:rPr>
          <w:rFonts w:ascii="仿宋_GB2312" w:hAnsi="Calibri" w:eastAsia="仿宋_GB2312"/>
          <w:sz w:val="32"/>
          <w:szCs w:val="32"/>
          <w:lang w:val="en-GB"/>
        </w:rPr>
      </w:pPr>
      <w:r>
        <w:rPr>
          <w:rFonts w:hint="eastAsia" w:ascii="仿宋_GB2312" w:eastAsia="仿宋_GB2312"/>
          <w:sz w:val="32"/>
          <w:szCs w:val="32"/>
        </w:rPr>
        <w:t>其他有关说明内容</w:t>
      </w:r>
      <w:r>
        <w:rPr>
          <w:rFonts w:hint="eastAsia" w:ascii="仿宋_GB2312" w:hAnsi="Calibri" w:eastAsia="仿宋_GB2312"/>
          <w:sz w:val="32"/>
          <w:szCs w:val="32"/>
          <w:lang w:val="en-GB"/>
        </w:rPr>
        <w:t>。</w:t>
      </w:r>
    </w:p>
    <w:p>
      <w:pPr>
        <w:spacing w:line="540" w:lineRule="exact"/>
        <w:ind w:firstLine="643" w:firstLineChars="200"/>
        <w:rPr>
          <w:rFonts w:ascii="仿宋_GB2312" w:eastAsia="仿宋_GB2312"/>
          <w:b/>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第四部分 部门决算公开的8张报表（见附表）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七、《一般公共预算财政拨款“三公”经费支出决算表》</w:t>
      </w:r>
    </w:p>
    <w:p>
      <w:pPr>
        <w:spacing w:line="540" w:lineRule="exact"/>
        <w:ind w:firstLine="640" w:firstLineChars="200"/>
        <w:rPr>
          <w:rFonts w:ascii="仿宋_GB2312" w:eastAsia="仿宋_GB2312"/>
          <w:sz w:val="32"/>
          <w:szCs w:val="32"/>
        </w:rPr>
      </w:pPr>
      <w:r>
        <w:rPr>
          <w:rFonts w:hint="eastAsia" w:ascii="仿宋_GB2312" w:hAnsi="宋体" w:eastAsia="仿宋_GB2312"/>
          <w:sz w:val="32"/>
          <w:szCs w:val="32"/>
        </w:rPr>
        <w:t>八、</w:t>
      </w:r>
      <w:r>
        <w:rPr>
          <w:rFonts w:hint="eastAsia" w:ascii="仿宋_GB2312" w:eastAsia="仿宋_GB2312"/>
          <w:sz w:val="32"/>
          <w:szCs w:val="32"/>
        </w:rPr>
        <w:t>《政府性基金预算财政拨款收入支出决算表》</w:t>
      </w:r>
    </w:p>
    <w:p>
      <w:pPr>
        <w:spacing w:line="540" w:lineRule="exact"/>
        <w:ind w:firstLine="640" w:firstLineChars="200"/>
        <w:rPr>
          <w:rFonts w:ascii="仿宋_GB2312" w:eastAsia="仿宋_GB2312"/>
          <w:sz w:val="32"/>
          <w:szCs w:val="32"/>
        </w:rPr>
      </w:pPr>
    </w:p>
    <w:p>
      <w:pPr>
        <w:spacing w:line="540" w:lineRule="exact"/>
        <w:ind w:firstLine="640" w:firstLineChars="200"/>
        <w:rPr>
          <w:rFonts w:ascii="仿宋_GB2312" w:eastAsia="仿宋_GB2312"/>
          <w:sz w:val="32"/>
          <w:szCs w:val="32"/>
        </w:rPr>
      </w:pPr>
    </w:p>
    <w:p>
      <w:pPr>
        <w:spacing w:line="540" w:lineRule="exact"/>
        <w:ind w:firstLine="640" w:firstLineChars="200"/>
        <w:rPr>
          <w:rFonts w:ascii="仿宋_GB2312" w:eastAsia="仿宋_GB2312"/>
          <w:sz w:val="32"/>
          <w:szCs w:val="32"/>
        </w:rPr>
      </w:pPr>
    </w:p>
    <w:p>
      <w:pPr>
        <w:spacing w:line="540" w:lineRule="exact"/>
        <w:ind w:firstLine="3200" w:firstLineChars="1000"/>
        <w:jc w:val="center"/>
        <w:rPr>
          <w:rFonts w:ascii="仿宋_GB2312" w:eastAsia="仿宋_GB2312"/>
          <w:sz w:val="32"/>
          <w:szCs w:val="32"/>
        </w:rPr>
      </w:pPr>
      <w:r>
        <w:rPr>
          <w:rFonts w:hint="eastAsia" w:ascii="仿宋_GB2312" w:eastAsia="仿宋_GB2312"/>
          <w:sz w:val="32"/>
          <w:szCs w:val="32"/>
        </w:rPr>
        <w:t>英吉沙县色提力乡人民政府</w:t>
      </w:r>
    </w:p>
    <w:p>
      <w:pPr>
        <w:spacing w:line="540" w:lineRule="exact"/>
        <w:ind w:firstLine="3200" w:firstLineChars="1000"/>
        <w:jc w:val="center"/>
        <w:rPr>
          <w:rFonts w:ascii="仿宋_GB2312" w:eastAsia="仿宋_GB2312"/>
          <w:sz w:val="32"/>
          <w:szCs w:val="32"/>
        </w:rPr>
        <w:sectPr>
          <w:footerReference r:id="rId3" w:type="default"/>
          <w:footerReference r:id="rId4" w:type="even"/>
          <w:pgSz w:w="11906" w:h="16838"/>
          <w:pgMar w:top="2041" w:right="1276" w:bottom="2041" w:left="1276" w:header="851" w:footer="1814" w:gutter="0"/>
          <w:pgNumType w:fmt="numberInDash"/>
          <w:cols w:space="425" w:num="1"/>
          <w:docGrid w:type="lines" w:linePitch="435" w:charSpace="-1675"/>
        </w:sectPr>
      </w:pPr>
      <w:r>
        <w:rPr>
          <w:rFonts w:hint="eastAsia" w:ascii="仿宋_GB2312" w:eastAsia="仿宋_GB2312"/>
          <w:sz w:val="32"/>
          <w:szCs w:val="32"/>
        </w:rPr>
        <w:t>2019年8月15日</w:t>
      </w:r>
    </w:p>
    <w:p>
      <w:pPr>
        <w:spacing w:line="540" w:lineRule="exact"/>
        <w:ind w:firstLine="640" w:firstLineChars="200"/>
        <w:rPr>
          <w:rFonts w:ascii="仿宋_GB2312" w:eastAsia="仿宋_GB2312"/>
          <w:sz w:val="32"/>
          <w:szCs w:val="32"/>
        </w:rPr>
        <w:sectPr>
          <w:footerReference r:id="rId5" w:type="default"/>
          <w:footerReference r:id="rId6" w:type="even"/>
          <w:pgSz w:w="11906" w:h="16838"/>
          <w:pgMar w:top="2041" w:right="1276" w:bottom="2041" w:left="1276" w:header="851" w:footer="1814" w:gutter="0"/>
          <w:pgNumType w:fmt="numberInDash"/>
          <w:cols w:space="425" w:num="1"/>
          <w:docGrid w:type="lines" w:linePitch="435" w:charSpace="-1675"/>
        </w:sectPr>
      </w:pPr>
    </w:p>
    <w:p>
      <w:pPr>
        <w:spacing w:line="540" w:lineRule="exact"/>
        <w:rPr>
          <w:rFonts w:ascii="仿宋_GB2312" w:eastAsia="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方正小标宋_GBK">
    <w:altName w:val="微软雅黑"/>
    <w:panose1 w:val="03000509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page" w:x="9631" w:y="37"/>
      <w:jc w:val="right"/>
      <w:rPr>
        <w:rStyle w:val="8"/>
        <w:rFonts w:ascii="宋体" w:hAnsi="宋体" w:eastAsia="宋体"/>
        <w:sz w:val="28"/>
      </w:rPr>
    </w:pPr>
    <w:r>
      <w:rPr>
        <w:rStyle w:val="8"/>
        <w:rFonts w:ascii="宋体" w:hAnsi="宋体" w:eastAsia="宋体"/>
        <w:sz w:val="28"/>
      </w:rPr>
      <w:fldChar w:fldCharType="begin"/>
    </w:r>
    <w:r>
      <w:rPr>
        <w:rStyle w:val="8"/>
        <w:rFonts w:ascii="宋体" w:hAnsi="宋体" w:eastAsia="宋体"/>
        <w:sz w:val="28"/>
      </w:rPr>
      <w:instrText xml:space="preserve"> PAGE </w:instrText>
    </w:r>
    <w:r>
      <w:rPr>
        <w:rStyle w:val="8"/>
        <w:rFonts w:ascii="宋体" w:hAnsi="宋体" w:eastAsia="宋体"/>
        <w:sz w:val="28"/>
      </w:rPr>
      <w:fldChar w:fldCharType="separate"/>
    </w:r>
    <w:r>
      <w:rPr>
        <w:rStyle w:val="8"/>
        <w:rFonts w:ascii="宋体" w:hAnsi="宋体" w:eastAsia="宋体"/>
        <w:sz w:val="28"/>
      </w:rPr>
      <w:t>- 5 -</w:t>
    </w:r>
    <w:r>
      <w:rPr>
        <w:rStyle w:val="8"/>
        <w:rFonts w:ascii="宋体" w:hAnsi="宋体" w:eastAsia="宋体"/>
        <w:sz w:val="28"/>
      </w:rPr>
      <w:fldChar w:fldCharType="end"/>
    </w:r>
    <w:r>
      <w:rPr>
        <w:rStyle w:val="8"/>
        <w:rFonts w:hint="eastAsia" w:ascii="宋体" w:hAnsi="宋体" w:eastAsia="宋体"/>
        <w:sz w:val="28"/>
      </w:rPr>
      <w:t xml:space="preserve"> </w:t>
    </w:r>
  </w:p>
  <w:p>
    <w:pPr>
      <w:pStyle w:val="5"/>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page" w:x="1756" w:y="37"/>
      <w:rPr>
        <w:rStyle w:val="8"/>
        <w:rFonts w:ascii="宋体" w:hAnsi="宋体" w:eastAsia="宋体"/>
        <w:sz w:val="28"/>
        <w:szCs w:val="28"/>
      </w:rPr>
    </w:pPr>
    <w:r>
      <w:rPr>
        <w:rStyle w:val="8"/>
        <w:rFonts w:ascii="宋体" w:hAnsi="宋体" w:eastAsia="宋体"/>
        <w:sz w:val="28"/>
        <w:szCs w:val="28"/>
      </w:rPr>
      <w:fldChar w:fldCharType="begin"/>
    </w:r>
    <w:r>
      <w:rPr>
        <w:rStyle w:val="8"/>
        <w:rFonts w:ascii="宋体" w:hAnsi="宋体" w:eastAsia="宋体"/>
        <w:sz w:val="28"/>
        <w:szCs w:val="28"/>
      </w:rPr>
      <w:instrText xml:space="preserve">PAGE  </w:instrText>
    </w:r>
    <w:r>
      <w:rPr>
        <w:rStyle w:val="8"/>
        <w:rFonts w:ascii="宋体" w:hAnsi="宋体" w:eastAsia="宋体"/>
        <w:sz w:val="28"/>
        <w:szCs w:val="28"/>
      </w:rPr>
      <w:fldChar w:fldCharType="separate"/>
    </w:r>
    <w:r>
      <w:rPr>
        <w:rStyle w:val="8"/>
        <w:rFonts w:ascii="宋体" w:hAnsi="宋体" w:eastAsia="宋体"/>
        <w:sz w:val="28"/>
        <w:szCs w:val="28"/>
      </w:rPr>
      <w:t>- 12 -</w:t>
    </w:r>
    <w:r>
      <w:rPr>
        <w:rStyle w:val="8"/>
        <w:rFonts w:ascii="宋体" w:hAnsi="宋体" w:eastAsia="宋体"/>
        <w:sz w:val="28"/>
        <w:szCs w:val="28"/>
      </w:rPr>
      <w:fldChar w:fldCharType="end"/>
    </w:r>
  </w:p>
  <w:p>
    <w:pPr>
      <w:pStyle w:val="5"/>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page" w:x="9631" w:y="37"/>
      <w:jc w:val="right"/>
      <w:rPr>
        <w:rStyle w:val="8"/>
        <w:rFonts w:ascii="宋体" w:hAnsi="宋体" w:eastAsia="宋体"/>
        <w:sz w:val="28"/>
      </w:rPr>
    </w:pPr>
    <w:r>
      <w:rPr>
        <w:rStyle w:val="8"/>
        <w:rFonts w:ascii="宋体" w:hAnsi="宋体" w:eastAsia="宋体"/>
        <w:sz w:val="28"/>
      </w:rPr>
      <w:fldChar w:fldCharType="begin"/>
    </w:r>
    <w:r>
      <w:rPr>
        <w:rStyle w:val="8"/>
        <w:rFonts w:ascii="宋体" w:hAnsi="宋体" w:eastAsia="宋体"/>
        <w:sz w:val="28"/>
      </w:rPr>
      <w:instrText xml:space="preserve"> PAGE </w:instrText>
    </w:r>
    <w:r>
      <w:rPr>
        <w:rStyle w:val="8"/>
        <w:rFonts w:ascii="宋体" w:hAnsi="宋体" w:eastAsia="宋体"/>
        <w:sz w:val="28"/>
      </w:rPr>
      <w:fldChar w:fldCharType="separate"/>
    </w:r>
    <w:r>
      <w:rPr>
        <w:rStyle w:val="8"/>
        <w:rFonts w:ascii="宋体" w:hAnsi="宋体" w:eastAsia="宋体"/>
        <w:sz w:val="28"/>
      </w:rPr>
      <w:t>23</w:t>
    </w:r>
    <w:r>
      <w:rPr>
        <w:rStyle w:val="8"/>
        <w:rFonts w:ascii="宋体" w:hAnsi="宋体" w:eastAsia="宋体"/>
        <w:sz w:val="28"/>
      </w:rPr>
      <w:fldChar w:fldCharType="end"/>
    </w:r>
    <w:r>
      <w:rPr>
        <w:rStyle w:val="8"/>
        <w:rFonts w:hint="eastAsia" w:ascii="宋体" w:hAnsi="宋体" w:eastAsia="宋体"/>
        <w:sz w:val="28"/>
      </w:rPr>
      <w:t xml:space="preserve"> </w:t>
    </w:r>
  </w:p>
  <w:p>
    <w:pPr>
      <w:pStyle w:val="5"/>
      <w:ind w:right="360"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page" w:x="1756" w:y="37"/>
      <w:rPr>
        <w:rStyle w:val="8"/>
        <w:rFonts w:ascii="宋体" w:hAnsi="宋体" w:eastAsia="宋体"/>
        <w:sz w:val="28"/>
        <w:szCs w:val="28"/>
      </w:rPr>
    </w:pPr>
    <w:r>
      <w:rPr>
        <w:rStyle w:val="8"/>
        <w:rFonts w:ascii="宋体" w:hAnsi="宋体" w:eastAsia="宋体"/>
        <w:sz w:val="28"/>
        <w:szCs w:val="28"/>
      </w:rPr>
      <w:fldChar w:fldCharType="begin"/>
    </w:r>
    <w:r>
      <w:rPr>
        <w:rStyle w:val="8"/>
        <w:rFonts w:ascii="宋体" w:hAnsi="宋体" w:eastAsia="宋体"/>
        <w:sz w:val="28"/>
        <w:szCs w:val="28"/>
      </w:rPr>
      <w:instrText xml:space="preserve">PAGE  </w:instrText>
    </w:r>
    <w:r>
      <w:rPr>
        <w:rStyle w:val="8"/>
        <w:rFonts w:ascii="宋体" w:hAnsi="宋体" w:eastAsia="宋体"/>
        <w:sz w:val="28"/>
        <w:szCs w:val="28"/>
      </w:rPr>
      <w:fldChar w:fldCharType="separate"/>
    </w:r>
    <w:r>
      <w:rPr>
        <w:rStyle w:val="8"/>
        <w:rFonts w:ascii="宋体" w:hAnsi="宋体" w:eastAsia="宋体"/>
        <w:sz w:val="28"/>
        <w:szCs w:val="28"/>
      </w:rPr>
      <w:t>- 12 -</w:t>
    </w:r>
    <w:r>
      <w:rPr>
        <w:rStyle w:val="8"/>
        <w:rFonts w:ascii="宋体" w:hAnsi="宋体" w:eastAsia="宋体"/>
        <w:sz w:val="28"/>
        <w:szCs w:val="28"/>
      </w:rPr>
      <w:fldChar w:fldCharType="end"/>
    </w:r>
  </w:p>
  <w:p>
    <w:pPr>
      <w:pStyle w:val="5"/>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43568"/>
    <w:rsid w:val="00000A75"/>
    <w:rsid w:val="00003BF7"/>
    <w:rsid w:val="00005719"/>
    <w:rsid w:val="00007F37"/>
    <w:rsid w:val="00010976"/>
    <w:rsid w:val="0002118A"/>
    <w:rsid w:val="00021887"/>
    <w:rsid w:val="00022242"/>
    <w:rsid w:val="00040E57"/>
    <w:rsid w:val="00044097"/>
    <w:rsid w:val="00050E1F"/>
    <w:rsid w:val="00054305"/>
    <w:rsid w:val="00060E28"/>
    <w:rsid w:val="000635BD"/>
    <w:rsid w:val="00065838"/>
    <w:rsid w:val="00080DEB"/>
    <w:rsid w:val="00083BBE"/>
    <w:rsid w:val="00083EBE"/>
    <w:rsid w:val="00091B9F"/>
    <w:rsid w:val="000A2EE8"/>
    <w:rsid w:val="000A497E"/>
    <w:rsid w:val="000A7773"/>
    <w:rsid w:val="000B08C5"/>
    <w:rsid w:val="000B206D"/>
    <w:rsid w:val="000B2C8D"/>
    <w:rsid w:val="000B6AD4"/>
    <w:rsid w:val="000B6C14"/>
    <w:rsid w:val="000B7C75"/>
    <w:rsid w:val="000C1474"/>
    <w:rsid w:val="000C5FC2"/>
    <w:rsid w:val="000C7811"/>
    <w:rsid w:val="000D21F9"/>
    <w:rsid w:val="000E0AB3"/>
    <w:rsid w:val="000E21E6"/>
    <w:rsid w:val="000E65F1"/>
    <w:rsid w:val="000E73E7"/>
    <w:rsid w:val="000E75AE"/>
    <w:rsid w:val="0010072E"/>
    <w:rsid w:val="00101D4F"/>
    <w:rsid w:val="0010481F"/>
    <w:rsid w:val="001128DE"/>
    <w:rsid w:val="00113241"/>
    <w:rsid w:val="0012066C"/>
    <w:rsid w:val="00123283"/>
    <w:rsid w:val="00124713"/>
    <w:rsid w:val="00124A31"/>
    <w:rsid w:val="00124B40"/>
    <w:rsid w:val="00133488"/>
    <w:rsid w:val="00133516"/>
    <w:rsid w:val="00137B91"/>
    <w:rsid w:val="00142400"/>
    <w:rsid w:val="00150BEF"/>
    <w:rsid w:val="00151A95"/>
    <w:rsid w:val="00157F86"/>
    <w:rsid w:val="00164EBC"/>
    <w:rsid w:val="001669CC"/>
    <w:rsid w:val="00166DAB"/>
    <w:rsid w:val="00166E4B"/>
    <w:rsid w:val="00167DB8"/>
    <w:rsid w:val="00170C1A"/>
    <w:rsid w:val="00171B68"/>
    <w:rsid w:val="00173DD7"/>
    <w:rsid w:val="00177527"/>
    <w:rsid w:val="00184AA3"/>
    <w:rsid w:val="00194099"/>
    <w:rsid w:val="001951FF"/>
    <w:rsid w:val="001A10E6"/>
    <w:rsid w:val="001A135B"/>
    <w:rsid w:val="001A1FDB"/>
    <w:rsid w:val="001A2A1A"/>
    <w:rsid w:val="001B3A06"/>
    <w:rsid w:val="001B5DF3"/>
    <w:rsid w:val="001C26F2"/>
    <w:rsid w:val="001C38EB"/>
    <w:rsid w:val="001C79E0"/>
    <w:rsid w:val="001D640A"/>
    <w:rsid w:val="001D65CB"/>
    <w:rsid w:val="001E197A"/>
    <w:rsid w:val="001E2962"/>
    <w:rsid w:val="001F0E21"/>
    <w:rsid w:val="001F2FE9"/>
    <w:rsid w:val="001F3267"/>
    <w:rsid w:val="001F6948"/>
    <w:rsid w:val="0020033F"/>
    <w:rsid w:val="00200C57"/>
    <w:rsid w:val="00207AD5"/>
    <w:rsid w:val="0021204D"/>
    <w:rsid w:val="002127E3"/>
    <w:rsid w:val="002146E7"/>
    <w:rsid w:val="00216FD0"/>
    <w:rsid w:val="00226DF0"/>
    <w:rsid w:val="00231C2E"/>
    <w:rsid w:val="00241293"/>
    <w:rsid w:val="00245135"/>
    <w:rsid w:val="002453A6"/>
    <w:rsid w:val="00247520"/>
    <w:rsid w:val="00251FC8"/>
    <w:rsid w:val="00256471"/>
    <w:rsid w:val="00257943"/>
    <w:rsid w:val="002608FE"/>
    <w:rsid w:val="00271D59"/>
    <w:rsid w:val="0027418F"/>
    <w:rsid w:val="00282470"/>
    <w:rsid w:val="00295B34"/>
    <w:rsid w:val="0029700A"/>
    <w:rsid w:val="002A7E48"/>
    <w:rsid w:val="002B1DA2"/>
    <w:rsid w:val="002B557B"/>
    <w:rsid w:val="002B5D8E"/>
    <w:rsid w:val="002C0FB9"/>
    <w:rsid w:val="002C4530"/>
    <w:rsid w:val="002D2B8C"/>
    <w:rsid w:val="002D34C1"/>
    <w:rsid w:val="002D76FA"/>
    <w:rsid w:val="002E189D"/>
    <w:rsid w:val="002E18D1"/>
    <w:rsid w:val="002E1B0E"/>
    <w:rsid w:val="002E531F"/>
    <w:rsid w:val="002E64E8"/>
    <w:rsid w:val="002F3234"/>
    <w:rsid w:val="002F4F3E"/>
    <w:rsid w:val="00300B06"/>
    <w:rsid w:val="0030440B"/>
    <w:rsid w:val="00305C33"/>
    <w:rsid w:val="00307208"/>
    <w:rsid w:val="00311036"/>
    <w:rsid w:val="003136FF"/>
    <w:rsid w:val="003167D1"/>
    <w:rsid w:val="00317644"/>
    <w:rsid w:val="00317B91"/>
    <w:rsid w:val="00320F9D"/>
    <w:rsid w:val="003217D2"/>
    <w:rsid w:val="003228EE"/>
    <w:rsid w:val="0032647C"/>
    <w:rsid w:val="00326734"/>
    <w:rsid w:val="0033566D"/>
    <w:rsid w:val="003441F7"/>
    <w:rsid w:val="00344D62"/>
    <w:rsid w:val="00345984"/>
    <w:rsid w:val="00361388"/>
    <w:rsid w:val="00363F78"/>
    <w:rsid w:val="003642F3"/>
    <w:rsid w:val="00364924"/>
    <w:rsid w:val="00366A76"/>
    <w:rsid w:val="003700A6"/>
    <w:rsid w:val="00371AB7"/>
    <w:rsid w:val="00376020"/>
    <w:rsid w:val="00376E66"/>
    <w:rsid w:val="003818F3"/>
    <w:rsid w:val="0038402D"/>
    <w:rsid w:val="00386083"/>
    <w:rsid w:val="003913BA"/>
    <w:rsid w:val="003929A0"/>
    <w:rsid w:val="00394E80"/>
    <w:rsid w:val="00396057"/>
    <w:rsid w:val="003A03AB"/>
    <w:rsid w:val="003A251D"/>
    <w:rsid w:val="003A4403"/>
    <w:rsid w:val="003B29BD"/>
    <w:rsid w:val="003B4AA1"/>
    <w:rsid w:val="003B68E6"/>
    <w:rsid w:val="003B6E53"/>
    <w:rsid w:val="003C5A61"/>
    <w:rsid w:val="003D124B"/>
    <w:rsid w:val="003D161B"/>
    <w:rsid w:val="003D3AA4"/>
    <w:rsid w:val="003E4A05"/>
    <w:rsid w:val="003E5F5C"/>
    <w:rsid w:val="003E7D9E"/>
    <w:rsid w:val="003F37E0"/>
    <w:rsid w:val="00401A23"/>
    <w:rsid w:val="00401CA2"/>
    <w:rsid w:val="00405E6D"/>
    <w:rsid w:val="00411C55"/>
    <w:rsid w:val="00415648"/>
    <w:rsid w:val="00415BCE"/>
    <w:rsid w:val="0042015D"/>
    <w:rsid w:val="0042215C"/>
    <w:rsid w:val="00425950"/>
    <w:rsid w:val="00430B78"/>
    <w:rsid w:val="00441209"/>
    <w:rsid w:val="00443568"/>
    <w:rsid w:val="00444981"/>
    <w:rsid w:val="0045026B"/>
    <w:rsid w:val="004558AB"/>
    <w:rsid w:val="00457729"/>
    <w:rsid w:val="0047598D"/>
    <w:rsid w:val="004802CE"/>
    <w:rsid w:val="00486DB6"/>
    <w:rsid w:val="00487D16"/>
    <w:rsid w:val="004957F5"/>
    <w:rsid w:val="004976A5"/>
    <w:rsid w:val="004A0034"/>
    <w:rsid w:val="004A02D4"/>
    <w:rsid w:val="004A0690"/>
    <w:rsid w:val="004A2CA4"/>
    <w:rsid w:val="004A7A7B"/>
    <w:rsid w:val="004B401D"/>
    <w:rsid w:val="004B58A1"/>
    <w:rsid w:val="004B7BB8"/>
    <w:rsid w:val="004C351C"/>
    <w:rsid w:val="004C5BB4"/>
    <w:rsid w:val="004C7372"/>
    <w:rsid w:val="004D508F"/>
    <w:rsid w:val="004D5F0E"/>
    <w:rsid w:val="004D6793"/>
    <w:rsid w:val="004D7DE9"/>
    <w:rsid w:val="004E15B7"/>
    <w:rsid w:val="004E5557"/>
    <w:rsid w:val="004E678C"/>
    <w:rsid w:val="004F067D"/>
    <w:rsid w:val="004F0DBA"/>
    <w:rsid w:val="004F33DA"/>
    <w:rsid w:val="004F77C5"/>
    <w:rsid w:val="00501302"/>
    <w:rsid w:val="00507F68"/>
    <w:rsid w:val="00523B8A"/>
    <w:rsid w:val="00532585"/>
    <w:rsid w:val="00533FA0"/>
    <w:rsid w:val="0054006F"/>
    <w:rsid w:val="00540C10"/>
    <w:rsid w:val="005464FA"/>
    <w:rsid w:val="00560650"/>
    <w:rsid w:val="00567FB5"/>
    <w:rsid w:val="005770C3"/>
    <w:rsid w:val="00577753"/>
    <w:rsid w:val="00581AD2"/>
    <w:rsid w:val="005857A0"/>
    <w:rsid w:val="00592D42"/>
    <w:rsid w:val="005A5B02"/>
    <w:rsid w:val="005B3245"/>
    <w:rsid w:val="005B6754"/>
    <w:rsid w:val="005B75C0"/>
    <w:rsid w:val="005C3143"/>
    <w:rsid w:val="005D311B"/>
    <w:rsid w:val="005D61D8"/>
    <w:rsid w:val="005E3B86"/>
    <w:rsid w:val="005E4E6B"/>
    <w:rsid w:val="005E6995"/>
    <w:rsid w:val="005E7C64"/>
    <w:rsid w:val="005F2A5A"/>
    <w:rsid w:val="005F2AEA"/>
    <w:rsid w:val="005F4FFE"/>
    <w:rsid w:val="00602C6F"/>
    <w:rsid w:val="00604ECA"/>
    <w:rsid w:val="006069FD"/>
    <w:rsid w:val="00610EE1"/>
    <w:rsid w:val="0061632B"/>
    <w:rsid w:val="006168AD"/>
    <w:rsid w:val="00621929"/>
    <w:rsid w:val="0062266C"/>
    <w:rsid w:val="006250CB"/>
    <w:rsid w:val="00627F36"/>
    <w:rsid w:val="006304D1"/>
    <w:rsid w:val="00631DA8"/>
    <w:rsid w:val="0063431E"/>
    <w:rsid w:val="00645C30"/>
    <w:rsid w:val="0065497B"/>
    <w:rsid w:val="00654E41"/>
    <w:rsid w:val="0067149A"/>
    <w:rsid w:val="0069278A"/>
    <w:rsid w:val="006A1C84"/>
    <w:rsid w:val="006A745B"/>
    <w:rsid w:val="006A78F4"/>
    <w:rsid w:val="006B0F85"/>
    <w:rsid w:val="006B4B06"/>
    <w:rsid w:val="006B4D0D"/>
    <w:rsid w:val="006B60E5"/>
    <w:rsid w:val="006B636C"/>
    <w:rsid w:val="006C1DED"/>
    <w:rsid w:val="006C3692"/>
    <w:rsid w:val="006D0B78"/>
    <w:rsid w:val="006D45B7"/>
    <w:rsid w:val="006D62B0"/>
    <w:rsid w:val="006F14EB"/>
    <w:rsid w:val="006F5BD8"/>
    <w:rsid w:val="006F7F5C"/>
    <w:rsid w:val="007015B6"/>
    <w:rsid w:val="00701EC2"/>
    <w:rsid w:val="007021BE"/>
    <w:rsid w:val="00706C32"/>
    <w:rsid w:val="007106B4"/>
    <w:rsid w:val="007214A9"/>
    <w:rsid w:val="007214DF"/>
    <w:rsid w:val="007220B1"/>
    <w:rsid w:val="007302C1"/>
    <w:rsid w:val="0073120F"/>
    <w:rsid w:val="007314F0"/>
    <w:rsid w:val="0074240E"/>
    <w:rsid w:val="00742FA1"/>
    <w:rsid w:val="007476BA"/>
    <w:rsid w:val="00750798"/>
    <w:rsid w:val="00752BCF"/>
    <w:rsid w:val="0076538D"/>
    <w:rsid w:val="007714E5"/>
    <w:rsid w:val="00773D5E"/>
    <w:rsid w:val="00776FAF"/>
    <w:rsid w:val="00777229"/>
    <w:rsid w:val="007775E8"/>
    <w:rsid w:val="0078072D"/>
    <w:rsid w:val="00795099"/>
    <w:rsid w:val="00796088"/>
    <w:rsid w:val="007A2C71"/>
    <w:rsid w:val="007A2FBD"/>
    <w:rsid w:val="007A6743"/>
    <w:rsid w:val="007B1E23"/>
    <w:rsid w:val="007B2E9D"/>
    <w:rsid w:val="007B4447"/>
    <w:rsid w:val="007C0F24"/>
    <w:rsid w:val="007C1415"/>
    <w:rsid w:val="007C2670"/>
    <w:rsid w:val="007C2E4F"/>
    <w:rsid w:val="007C5E7D"/>
    <w:rsid w:val="007C7E2E"/>
    <w:rsid w:val="007D2127"/>
    <w:rsid w:val="007E3095"/>
    <w:rsid w:val="007F27ED"/>
    <w:rsid w:val="008043B9"/>
    <w:rsid w:val="0080628E"/>
    <w:rsid w:val="00807ACF"/>
    <w:rsid w:val="00821E76"/>
    <w:rsid w:val="008259BC"/>
    <w:rsid w:val="0083105A"/>
    <w:rsid w:val="00837040"/>
    <w:rsid w:val="008427AB"/>
    <w:rsid w:val="00847DCE"/>
    <w:rsid w:val="0085023C"/>
    <w:rsid w:val="00853966"/>
    <w:rsid w:val="00857827"/>
    <w:rsid w:val="00866A6C"/>
    <w:rsid w:val="008969FE"/>
    <w:rsid w:val="008A237C"/>
    <w:rsid w:val="008A2D2C"/>
    <w:rsid w:val="008A3633"/>
    <w:rsid w:val="008B2514"/>
    <w:rsid w:val="008B4607"/>
    <w:rsid w:val="008B5C78"/>
    <w:rsid w:val="008C030F"/>
    <w:rsid w:val="008C3836"/>
    <w:rsid w:val="008E28BD"/>
    <w:rsid w:val="008E4EAC"/>
    <w:rsid w:val="008E5D6E"/>
    <w:rsid w:val="008F0F07"/>
    <w:rsid w:val="00910E73"/>
    <w:rsid w:val="009110DE"/>
    <w:rsid w:val="00913B22"/>
    <w:rsid w:val="00914BA4"/>
    <w:rsid w:val="00920C0A"/>
    <w:rsid w:val="00920E2A"/>
    <w:rsid w:val="00922EA0"/>
    <w:rsid w:val="009240D6"/>
    <w:rsid w:val="00924A08"/>
    <w:rsid w:val="009256ED"/>
    <w:rsid w:val="00927052"/>
    <w:rsid w:val="00927281"/>
    <w:rsid w:val="00940134"/>
    <w:rsid w:val="00943A3E"/>
    <w:rsid w:val="00944CCC"/>
    <w:rsid w:val="00945E7F"/>
    <w:rsid w:val="00947403"/>
    <w:rsid w:val="0095057C"/>
    <w:rsid w:val="009543BA"/>
    <w:rsid w:val="00954FB4"/>
    <w:rsid w:val="00960925"/>
    <w:rsid w:val="00970AB3"/>
    <w:rsid w:val="00982C13"/>
    <w:rsid w:val="00985DF4"/>
    <w:rsid w:val="00987E45"/>
    <w:rsid w:val="0099241E"/>
    <w:rsid w:val="009942F3"/>
    <w:rsid w:val="00994950"/>
    <w:rsid w:val="0099652B"/>
    <w:rsid w:val="009A0831"/>
    <w:rsid w:val="009A44FB"/>
    <w:rsid w:val="009A5CDE"/>
    <w:rsid w:val="009B3F92"/>
    <w:rsid w:val="009C3CE9"/>
    <w:rsid w:val="009C6A82"/>
    <w:rsid w:val="009D15D2"/>
    <w:rsid w:val="009D592F"/>
    <w:rsid w:val="009D641F"/>
    <w:rsid w:val="009E49B5"/>
    <w:rsid w:val="009E711C"/>
    <w:rsid w:val="009F06B8"/>
    <w:rsid w:val="00A0017F"/>
    <w:rsid w:val="00A037A6"/>
    <w:rsid w:val="00A11A5F"/>
    <w:rsid w:val="00A11F40"/>
    <w:rsid w:val="00A13D3F"/>
    <w:rsid w:val="00A273DB"/>
    <w:rsid w:val="00A3080D"/>
    <w:rsid w:val="00A30EB7"/>
    <w:rsid w:val="00A31D7F"/>
    <w:rsid w:val="00A338C6"/>
    <w:rsid w:val="00A408E3"/>
    <w:rsid w:val="00A425CE"/>
    <w:rsid w:val="00A44660"/>
    <w:rsid w:val="00A55F77"/>
    <w:rsid w:val="00A72457"/>
    <w:rsid w:val="00A86966"/>
    <w:rsid w:val="00A872D8"/>
    <w:rsid w:val="00A912CC"/>
    <w:rsid w:val="00A970D1"/>
    <w:rsid w:val="00AA57AE"/>
    <w:rsid w:val="00AA663A"/>
    <w:rsid w:val="00AB0AFB"/>
    <w:rsid w:val="00AC002C"/>
    <w:rsid w:val="00AC1DD9"/>
    <w:rsid w:val="00AC4218"/>
    <w:rsid w:val="00AD3489"/>
    <w:rsid w:val="00AD3E2D"/>
    <w:rsid w:val="00AD51DD"/>
    <w:rsid w:val="00AE5C1B"/>
    <w:rsid w:val="00AE79D8"/>
    <w:rsid w:val="00AE7BAC"/>
    <w:rsid w:val="00AF09FB"/>
    <w:rsid w:val="00B00C16"/>
    <w:rsid w:val="00B03B3E"/>
    <w:rsid w:val="00B046A4"/>
    <w:rsid w:val="00B06382"/>
    <w:rsid w:val="00B0733F"/>
    <w:rsid w:val="00B10701"/>
    <w:rsid w:val="00B146E7"/>
    <w:rsid w:val="00B30B86"/>
    <w:rsid w:val="00B32A4F"/>
    <w:rsid w:val="00B358E2"/>
    <w:rsid w:val="00B40CB6"/>
    <w:rsid w:val="00B50AD6"/>
    <w:rsid w:val="00B51AB3"/>
    <w:rsid w:val="00B5337C"/>
    <w:rsid w:val="00B5340F"/>
    <w:rsid w:val="00B611F7"/>
    <w:rsid w:val="00B6765D"/>
    <w:rsid w:val="00B717C5"/>
    <w:rsid w:val="00B75463"/>
    <w:rsid w:val="00B90F21"/>
    <w:rsid w:val="00B93445"/>
    <w:rsid w:val="00B94F7E"/>
    <w:rsid w:val="00B95F83"/>
    <w:rsid w:val="00B965C5"/>
    <w:rsid w:val="00B96E34"/>
    <w:rsid w:val="00B9729A"/>
    <w:rsid w:val="00BB0177"/>
    <w:rsid w:val="00BB3A31"/>
    <w:rsid w:val="00BC2D65"/>
    <w:rsid w:val="00BD1F2C"/>
    <w:rsid w:val="00BD2BBE"/>
    <w:rsid w:val="00BD7EF8"/>
    <w:rsid w:val="00BE0FEE"/>
    <w:rsid w:val="00BE4817"/>
    <w:rsid w:val="00BE721C"/>
    <w:rsid w:val="00BF0DC7"/>
    <w:rsid w:val="00BF1F54"/>
    <w:rsid w:val="00C04782"/>
    <w:rsid w:val="00C04F2D"/>
    <w:rsid w:val="00C238F0"/>
    <w:rsid w:val="00C25CC6"/>
    <w:rsid w:val="00C31297"/>
    <w:rsid w:val="00C61A9B"/>
    <w:rsid w:val="00C732F1"/>
    <w:rsid w:val="00C8565C"/>
    <w:rsid w:val="00C92227"/>
    <w:rsid w:val="00CB0287"/>
    <w:rsid w:val="00CB11AE"/>
    <w:rsid w:val="00CB2CF7"/>
    <w:rsid w:val="00CC1506"/>
    <w:rsid w:val="00CC176A"/>
    <w:rsid w:val="00CC1B4E"/>
    <w:rsid w:val="00CC3731"/>
    <w:rsid w:val="00CC4506"/>
    <w:rsid w:val="00CC4F04"/>
    <w:rsid w:val="00CD723D"/>
    <w:rsid w:val="00CE1BBB"/>
    <w:rsid w:val="00CF226A"/>
    <w:rsid w:val="00CF3263"/>
    <w:rsid w:val="00CF444E"/>
    <w:rsid w:val="00D001BF"/>
    <w:rsid w:val="00D07FED"/>
    <w:rsid w:val="00D1171B"/>
    <w:rsid w:val="00D1499A"/>
    <w:rsid w:val="00D16172"/>
    <w:rsid w:val="00D20653"/>
    <w:rsid w:val="00D25C67"/>
    <w:rsid w:val="00D30DDB"/>
    <w:rsid w:val="00D334A9"/>
    <w:rsid w:val="00D36199"/>
    <w:rsid w:val="00D43678"/>
    <w:rsid w:val="00D51F2C"/>
    <w:rsid w:val="00D5247F"/>
    <w:rsid w:val="00D528F6"/>
    <w:rsid w:val="00D670F7"/>
    <w:rsid w:val="00D7746E"/>
    <w:rsid w:val="00D819E7"/>
    <w:rsid w:val="00D85A61"/>
    <w:rsid w:val="00D92C82"/>
    <w:rsid w:val="00DA1E10"/>
    <w:rsid w:val="00DA463D"/>
    <w:rsid w:val="00DA5B64"/>
    <w:rsid w:val="00DB2B00"/>
    <w:rsid w:val="00DB45E7"/>
    <w:rsid w:val="00DC19E1"/>
    <w:rsid w:val="00DC25CF"/>
    <w:rsid w:val="00DC65F7"/>
    <w:rsid w:val="00DF32E5"/>
    <w:rsid w:val="00DF3EFD"/>
    <w:rsid w:val="00E07FDF"/>
    <w:rsid w:val="00E14EDE"/>
    <w:rsid w:val="00E242B2"/>
    <w:rsid w:val="00E31696"/>
    <w:rsid w:val="00E33E4C"/>
    <w:rsid w:val="00E44960"/>
    <w:rsid w:val="00E52F6A"/>
    <w:rsid w:val="00E545C9"/>
    <w:rsid w:val="00E55774"/>
    <w:rsid w:val="00E56018"/>
    <w:rsid w:val="00E64B7B"/>
    <w:rsid w:val="00E66654"/>
    <w:rsid w:val="00E74817"/>
    <w:rsid w:val="00E75B6D"/>
    <w:rsid w:val="00E76C2B"/>
    <w:rsid w:val="00E8294F"/>
    <w:rsid w:val="00E870C3"/>
    <w:rsid w:val="00E8738A"/>
    <w:rsid w:val="00E916E5"/>
    <w:rsid w:val="00E92F11"/>
    <w:rsid w:val="00E95399"/>
    <w:rsid w:val="00E95FBD"/>
    <w:rsid w:val="00E9654C"/>
    <w:rsid w:val="00EA1A1C"/>
    <w:rsid w:val="00EA36D3"/>
    <w:rsid w:val="00EB1C85"/>
    <w:rsid w:val="00EB22F0"/>
    <w:rsid w:val="00EB380F"/>
    <w:rsid w:val="00EB3823"/>
    <w:rsid w:val="00EC5A7D"/>
    <w:rsid w:val="00EC7099"/>
    <w:rsid w:val="00ED5E90"/>
    <w:rsid w:val="00ED60E2"/>
    <w:rsid w:val="00EE0A13"/>
    <w:rsid w:val="00EE2897"/>
    <w:rsid w:val="00EF31D5"/>
    <w:rsid w:val="00EF7FDA"/>
    <w:rsid w:val="00F01612"/>
    <w:rsid w:val="00F04B17"/>
    <w:rsid w:val="00F113F4"/>
    <w:rsid w:val="00F13479"/>
    <w:rsid w:val="00F14CE8"/>
    <w:rsid w:val="00F1625A"/>
    <w:rsid w:val="00F17C93"/>
    <w:rsid w:val="00F50BA2"/>
    <w:rsid w:val="00F5664D"/>
    <w:rsid w:val="00F6771B"/>
    <w:rsid w:val="00F703C3"/>
    <w:rsid w:val="00F80799"/>
    <w:rsid w:val="00F81776"/>
    <w:rsid w:val="00F835AD"/>
    <w:rsid w:val="00F844FD"/>
    <w:rsid w:val="00F869A3"/>
    <w:rsid w:val="00F86FB3"/>
    <w:rsid w:val="00F97BF1"/>
    <w:rsid w:val="00FA29D8"/>
    <w:rsid w:val="00FA5F5D"/>
    <w:rsid w:val="00FB0BA6"/>
    <w:rsid w:val="00FC29A0"/>
    <w:rsid w:val="00FC6C17"/>
    <w:rsid w:val="00FE48DB"/>
    <w:rsid w:val="00FF3620"/>
    <w:rsid w:val="00FF3A84"/>
    <w:rsid w:val="01110239"/>
    <w:rsid w:val="028847F9"/>
    <w:rsid w:val="03AA79F6"/>
    <w:rsid w:val="04741FE5"/>
    <w:rsid w:val="04DB02C7"/>
    <w:rsid w:val="06B856EE"/>
    <w:rsid w:val="07FE5938"/>
    <w:rsid w:val="084604BC"/>
    <w:rsid w:val="08883825"/>
    <w:rsid w:val="09725983"/>
    <w:rsid w:val="0A382BB5"/>
    <w:rsid w:val="0AA4543A"/>
    <w:rsid w:val="0BE61132"/>
    <w:rsid w:val="0C9B0DD6"/>
    <w:rsid w:val="0CE4791C"/>
    <w:rsid w:val="0E063C64"/>
    <w:rsid w:val="0F4C7B96"/>
    <w:rsid w:val="0FFB575E"/>
    <w:rsid w:val="10845F1B"/>
    <w:rsid w:val="11463A00"/>
    <w:rsid w:val="11600918"/>
    <w:rsid w:val="11B0398F"/>
    <w:rsid w:val="13B960C5"/>
    <w:rsid w:val="152777F4"/>
    <w:rsid w:val="15C674B6"/>
    <w:rsid w:val="18D54A0D"/>
    <w:rsid w:val="1A4106A0"/>
    <w:rsid w:val="1A4F5437"/>
    <w:rsid w:val="1AB77CD0"/>
    <w:rsid w:val="1E807156"/>
    <w:rsid w:val="1EA657F6"/>
    <w:rsid w:val="1F097CB6"/>
    <w:rsid w:val="2166156B"/>
    <w:rsid w:val="21B02D83"/>
    <w:rsid w:val="22A236F5"/>
    <w:rsid w:val="23995975"/>
    <w:rsid w:val="2432220E"/>
    <w:rsid w:val="248303BA"/>
    <w:rsid w:val="24837E47"/>
    <w:rsid w:val="252E01AA"/>
    <w:rsid w:val="2680023E"/>
    <w:rsid w:val="292905EE"/>
    <w:rsid w:val="29680352"/>
    <w:rsid w:val="2A020F75"/>
    <w:rsid w:val="2B007AEE"/>
    <w:rsid w:val="2BC14C56"/>
    <w:rsid w:val="2C1B026F"/>
    <w:rsid w:val="2CC61F55"/>
    <w:rsid w:val="2EF7452F"/>
    <w:rsid w:val="2F1D13B4"/>
    <w:rsid w:val="2FAA3DA6"/>
    <w:rsid w:val="30682E1F"/>
    <w:rsid w:val="30E210D2"/>
    <w:rsid w:val="311371D6"/>
    <w:rsid w:val="31EB64C9"/>
    <w:rsid w:val="336D0D6F"/>
    <w:rsid w:val="352E4BEC"/>
    <w:rsid w:val="36CC7FC3"/>
    <w:rsid w:val="37DD5594"/>
    <w:rsid w:val="38F24FA8"/>
    <w:rsid w:val="39963737"/>
    <w:rsid w:val="3A98342A"/>
    <w:rsid w:val="3AB6780E"/>
    <w:rsid w:val="3AD56D70"/>
    <w:rsid w:val="3B2920C2"/>
    <w:rsid w:val="3BE41ABD"/>
    <w:rsid w:val="3C5421A9"/>
    <w:rsid w:val="3D903B21"/>
    <w:rsid w:val="3F440741"/>
    <w:rsid w:val="41FC306C"/>
    <w:rsid w:val="44BE5554"/>
    <w:rsid w:val="451E0908"/>
    <w:rsid w:val="452C2D31"/>
    <w:rsid w:val="45D26E14"/>
    <w:rsid w:val="46A541B1"/>
    <w:rsid w:val="47C36BA4"/>
    <w:rsid w:val="48345DD8"/>
    <w:rsid w:val="48C57772"/>
    <w:rsid w:val="49782886"/>
    <w:rsid w:val="4A6F0D28"/>
    <w:rsid w:val="4AAF085C"/>
    <w:rsid w:val="4AEB7E60"/>
    <w:rsid w:val="4B102786"/>
    <w:rsid w:val="4B4B135B"/>
    <w:rsid w:val="4BC7055F"/>
    <w:rsid w:val="4CFC7DB2"/>
    <w:rsid w:val="4E7C187D"/>
    <w:rsid w:val="50101F6E"/>
    <w:rsid w:val="508941AD"/>
    <w:rsid w:val="50E65530"/>
    <w:rsid w:val="51457139"/>
    <w:rsid w:val="51574DBD"/>
    <w:rsid w:val="51EC1DA8"/>
    <w:rsid w:val="52FC5524"/>
    <w:rsid w:val="532D7A17"/>
    <w:rsid w:val="54AF4562"/>
    <w:rsid w:val="54C9674B"/>
    <w:rsid w:val="556318EA"/>
    <w:rsid w:val="55A60AA1"/>
    <w:rsid w:val="56451615"/>
    <w:rsid w:val="56BA225B"/>
    <w:rsid w:val="57FC5774"/>
    <w:rsid w:val="59B332C9"/>
    <w:rsid w:val="5A44758A"/>
    <w:rsid w:val="5BEC4BB3"/>
    <w:rsid w:val="5C070B55"/>
    <w:rsid w:val="5C32260D"/>
    <w:rsid w:val="5CB96DCE"/>
    <w:rsid w:val="5CE61580"/>
    <w:rsid w:val="5D175666"/>
    <w:rsid w:val="5D3727F5"/>
    <w:rsid w:val="5D556A3C"/>
    <w:rsid w:val="5D7B25C9"/>
    <w:rsid w:val="5ECB44B4"/>
    <w:rsid w:val="5EE2043C"/>
    <w:rsid w:val="5EFC2052"/>
    <w:rsid w:val="602D2E37"/>
    <w:rsid w:val="60F6558C"/>
    <w:rsid w:val="61460FBE"/>
    <w:rsid w:val="62775810"/>
    <w:rsid w:val="62D83744"/>
    <w:rsid w:val="630F4048"/>
    <w:rsid w:val="63AA02E5"/>
    <w:rsid w:val="64700DE9"/>
    <w:rsid w:val="65C613BD"/>
    <w:rsid w:val="65FD118C"/>
    <w:rsid w:val="682C3D89"/>
    <w:rsid w:val="68611305"/>
    <w:rsid w:val="6A162DE0"/>
    <w:rsid w:val="6A331428"/>
    <w:rsid w:val="6B2E5CB6"/>
    <w:rsid w:val="6B3D4886"/>
    <w:rsid w:val="6BC0706D"/>
    <w:rsid w:val="6DF8675E"/>
    <w:rsid w:val="6EA80098"/>
    <w:rsid w:val="6F8D70FF"/>
    <w:rsid w:val="6FFE5011"/>
    <w:rsid w:val="7178734D"/>
    <w:rsid w:val="71791096"/>
    <w:rsid w:val="717B0C34"/>
    <w:rsid w:val="71FB78FD"/>
    <w:rsid w:val="7275064A"/>
    <w:rsid w:val="733F750B"/>
    <w:rsid w:val="735702E2"/>
    <w:rsid w:val="765F635A"/>
    <w:rsid w:val="76B73454"/>
    <w:rsid w:val="76D254BD"/>
    <w:rsid w:val="77727ACD"/>
    <w:rsid w:val="78071142"/>
    <w:rsid w:val="78897497"/>
    <w:rsid w:val="79296B37"/>
    <w:rsid w:val="796356C7"/>
    <w:rsid w:val="7A4C4C40"/>
    <w:rsid w:val="7AA0518E"/>
    <w:rsid w:val="7B041636"/>
    <w:rsid w:val="7CA86749"/>
    <w:rsid w:val="7EC92370"/>
    <w:rsid w:val="7F2238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微软雅黑"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unhideWhenUsed/>
    <w:uiPriority w:val="1"/>
  </w:style>
  <w:style w:type="table" w:default="1" w:styleId="10">
    <w:name w:val="Normal Table"/>
    <w:unhideWhenUsed/>
    <w:uiPriority w:val="99"/>
    <w:tblPr>
      <w:tblLayout w:type="fixed"/>
      <w:tblCellMar>
        <w:top w:w="0" w:type="dxa"/>
        <w:left w:w="108" w:type="dxa"/>
        <w:bottom w:w="0" w:type="dxa"/>
        <w:right w:w="108" w:type="dxa"/>
      </w:tblCellMar>
    </w:tblPr>
  </w:style>
  <w:style w:type="paragraph" w:styleId="2">
    <w:name w:val="annotation subject"/>
    <w:basedOn w:val="3"/>
    <w:next w:val="3"/>
    <w:link w:val="13"/>
    <w:unhideWhenUsed/>
    <w:qFormat/>
    <w:uiPriority w:val="99"/>
    <w:rPr>
      <w:b/>
      <w:bCs/>
    </w:rPr>
  </w:style>
  <w:style w:type="paragraph" w:styleId="3">
    <w:name w:val="annotation text"/>
    <w:basedOn w:val="1"/>
    <w:link w:val="12"/>
    <w:unhideWhenUsed/>
    <w:qFormat/>
    <w:uiPriority w:val="99"/>
    <w:pPr>
      <w:jc w:val="left"/>
    </w:pPr>
  </w:style>
  <w:style w:type="paragraph" w:styleId="4">
    <w:name w:val="Balloon Text"/>
    <w:basedOn w:val="1"/>
    <w:link w:val="14"/>
    <w:unhideWhenUsed/>
    <w:qFormat/>
    <w:uiPriority w:val="99"/>
    <w:rPr>
      <w:sz w:val="18"/>
      <w:szCs w:val="18"/>
    </w:rPr>
  </w:style>
  <w:style w:type="paragraph" w:styleId="5">
    <w:name w:val="footer"/>
    <w:basedOn w:val="1"/>
    <w:link w:val="1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character" w:styleId="8">
    <w:name w:val="page number"/>
    <w:basedOn w:val="7"/>
    <w:qFormat/>
    <w:uiPriority w:val="0"/>
  </w:style>
  <w:style w:type="character" w:styleId="9">
    <w:name w:val="annotation reference"/>
    <w:basedOn w:val="7"/>
    <w:unhideWhenUsed/>
    <w:qFormat/>
    <w:uiPriority w:val="99"/>
    <w:rPr>
      <w:sz w:val="21"/>
      <w:szCs w:val="21"/>
    </w:rPr>
  </w:style>
  <w:style w:type="character" w:customStyle="1" w:styleId="11">
    <w:name w:val="页脚 Char"/>
    <w:basedOn w:val="7"/>
    <w:link w:val="5"/>
    <w:qFormat/>
    <w:uiPriority w:val="0"/>
    <w:rPr>
      <w:rFonts w:ascii="Times New Roman" w:hAnsi="Times New Roman" w:eastAsia="黑体" w:cs="Times New Roman"/>
      <w:snapToGrid w:val="0"/>
      <w:kern w:val="0"/>
      <w:sz w:val="18"/>
      <w:szCs w:val="18"/>
    </w:rPr>
  </w:style>
  <w:style w:type="character" w:customStyle="1" w:styleId="12">
    <w:name w:val="批注文字 Char"/>
    <w:basedOn w:val="7"/>
    <w:link w:val="3"/>
    <w:semiHidden/>
    <w:qFormat/>
    <w:uiPriority w:val="99"/>
    <w:rPr>
      <w:rFonts w:ascii="Times New Roman" w:hAnsi="Times New Roman" w:eastAsia="宋体" w:cs="Times New Roman"/>
      <w:szCs w:val="24"/>
    </w:rPr>
  </w:style>
  <w:style w:type="character" w:customStyle="1" w:styleId="13">
    <w:name w:val="批注主题 Char"/>
    <w:basedOn w:val="12"/>
    <w:link w:val="2"/>
    <w:semiHidden/>
    <w:qFormat/>
    <w:uiPriority w:val="99"/>
    <w:rPr>
      <w:rFonts w:ascii="Times New Roman" w:hAnsi="Times New Roman" w:eastAsia="宋体" w:cs="Times New Roman"/>
      <w:b/>
      <w:bCs/>
      <w:szCs w:val="24"/>
    </w:rPr>
  </w:style>
  <w:style w:type="character" w:customStyle="1" w:styleId="14">
    <w:name w:val="批注框文本 Char"/>
    <w:basedOn w:val="7"/>
    <w:link w:val="4"/>
    <w:semiHidden/>
    <w:qFormat/>
    <w:uiPriority w:val="99"/>
    <w:rPr>
      <w:rFonts w:ascii="Times New Roman" w:hAnsi="Times New Roman" w:eastAsia="宋体" w:cs="Times New Roman"/>
      <w:sz w:val="18"/>
      <w:szCs w:val="18"/>
    </w:rPr>
  </w:style>
  <w:style w:type="character" w:customStyle="1" w:styleId="15">
    <w:name w:val="页眉 Char"/>
    <w:basedOn w:val="7"/>
    <w:link w:val="6"/>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23</Pages>
  <Words>1729</Words>
  <Characters>9859</Characters>
  <Lines>82</Lines>
  <Paragraphs>23</Paragraphs>
  <TotalTime>0</TotalTime>
  <ScaleCrop>false</ScaleCrop>
  <LinksUpToDate>false</LinksUpToDate>
  <CharactersWithSpaces>11565</CharactersWithSpaces>
  <Application>WPS Office_10.1.0.6930_F1E327BC-269C-435d-A152-05C5408002CA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2019-05-30T09:42:00Z</dcterms:created>
  <dc:creator>Administrator</dc:creator>
  <cp:lastModifiedBy>Administrator</cp:lastModifiedBy>
  <dcterms:modified xsi:type="dcterms:W3CDTF">2021-07-14T10:54:38Z</dcterms:modified>
  <cp:revision>812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2052-10.1.0.6930</vt:lpwstr>
  </property>
</Properties>
</file>